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CDC9" w14:textId="7244A15F" w:rsidR="00563DBC" w:rsidRDefault="00563DBC" w:rsidP="00112E4F">
      <w:pPr>
        <w:pStyle w:val="Default"/>
        <w:spacing w:after="120"/>
        <w:jc w:val="center"/>
        <w:rPr>
          <w:rFonts w:ascii="Times New Roman" w:hAnsi="Times New Roman" w:cs="Times New Roman"/>
          <w:b/>
          <w:color w:val="auto"/>
        </w:rPr>
      </w:pPr>
      <w:r w:rsidRPr="00F1547E">
        <w:rPr>
          <w:rFonts w:ascii="Times New Roman" w:hAnsi="Times New Roman" w:cs="Times New Roman"/>
          <w:noProof/>
          <w:lang w:eastAsia="en-GB"/>
        </w:rPr>
        <w:drawing>
          <wp:anchor distT="0" distB="0" distL="114300" distR="114300" simplePos="0" relativeHeight="251659264" behindDoc="1" locked="0" layoutInCell="1" allowOverlap="1" wp14:anchorId="0D04FDFC" wp14:editId="2C6336DE">
            <wp:simplePos x="0" y="0"/>
            <wp:positionH relativeFrom="margin">
              <wp:posOffset>2197100</wp:posOffset>
            </wp:positionH>
            <wp:positionV relativeFrom="paragraph">
              <wp:posOffset>0</wp:posOffset>
            </wp:positionV>
            <wp:extent cx="1143000" cy="723900"/>
            <wp:effectExtent l="0" t="0" r="0" b="0"/>
            <wp:wrapThrough wrapText="bothSides">
              <wp:wrapPolygon edited="0">
                <wp:start x="0" y="0"/>
                <wp:lineTo x="0" y="21032"/>
                <wp:lineTo x="21240" y="21032"/>
                <wp:lineTo x="212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anchor>
        </w:drawing>
      </w:r>
    </w:p>
    <w:p w14:paraId="473DCF8A" w14:textId="645A2B86" w:rsidR="00563DBC" w:rsidRDefault="00563DBC" w:rsidP="00112E4F">
      <w:pPr>
        <w:pStyle w:val="Default"/>
        <w:spacing w:after="120"/>
        <w:jc w:val="center"/>
        <w:rPr>
          <w:rFonts w:ascii="Times New Roman" w:hAnsi="Times New Roman" w:cs="Times New Roman"/>
          <w:b/>
          <w:color w:val="auto"/>
        </w:rPr>
      </w:pPr>
    </w:p>
    <w:p w14:paraId="6DB0164A" w14:textId="77777777" w:rsidR="00563DBC" w:rsidRDefault="00563DBC" w:rsidP="00112E4F">
      <w:pPr>
        <w:pStyle w:val="Default"/>
        <w:spacing w:after="120"/>
        <w:jc w:val="center"/>
        <w:rPr>
          <w:rFonts w:ascii="Times New Roman" w:hAnsi="Times New Roman" w:cs="Times New Roman"/>
          <w:b/>
          <w:color w:val="auto"/>
        </w:rPr>
      </w:pPr>
    </w:p>
    <w:p w14:paraId="5456DAD0" w14:textId="77777777" w:rsidR="00563DBC" w:rsidRDefault="00563DBC" w:rsidP="00112E4F">
      <w:pPr>
        <w:pStyle w:val="Default"/>
        <w:spacing w:after="120"/>
        <w:jc w:val="center"/>
        <w:rPr>
          <w:rFonts w:ascii="Times New Roman" w:hAnsi="Times New Roman" w:cs="Times New Roman"/>
          <w:b/>
          <w:color w:val="auto"/>
        </w:rPr>
      </w:pPr>
    </w:p>
    <w:p w14:paraId="3D40E394" w14:textId="7ADD91B3" w:rsidR="00B61524" w:rsidRPr="00112E4F" w:rsidRDefault="00563DBC" w:rsidP="00112E4F">
      <w:pPr>
        <w:pStyle w:val="Default"/>
        <w:spacing w:after="120"/>
        <w:jc w:val="center"/>
        <w:rPr>
          <w:rFonts w:ascii="Times New Roman" w:hAnsi="Times New Roman" w:cs="Times New Roman"/>
          <w:b/>
          <w:color w:val="auto"/>
        </w:rPr>
      </w:pPr>
      <w:r>
        <w:rPr>
          <w:rFonts w:ascii="Times New Roman" w:hAnsi="Times New Roman" w:cs="Times New Roman"/>
          <w:b/>
          <w:color w:val="auto"/>
        </w:rPr>
        <w:t xml:space="preserve">EU </w:t>
      </w:r>
      <w:r w:rsidR="00B61524" w:rsidRPr="00112E4F">
        <w:rPr>
          <w:rFonts w:ascii="Times New Roman" w:hAnsi="Times New Roman" w:cs="Times New Roman"/>
          <w:b/>
          <w:color w:val="auto"/>
        </w:rPr>
        <w:t xml:space="preserve">Key </w:t>
      </w:r>
      <w:r>
        <w:rPr>
          <w:rFonts w:ascii="Times New Roman" w:hAnsi="Times New Roman" w:cs="Times New Roman"/>
          <w:b/>
          <w:color w:val="auto"/>
        </w:rPr>
        <w:t>M</w:t>
      </w:r>
      <w:r w:rsidR="00B61524" w:rsidRPr="00112E4F">
        <w:rPr>
          <w:rFonts w:ascii="Times New Roman" w:hAnsi="Times New Roman" w:cs="Times New Roman"/>
          <w:b/>
          <w:color w:val="auto"/>
        </w:rPr>
        <w:t xml:space="preserve">essages </w:t>
      </w:r>
    </w:p>
    <w:p w14:paraId="7D67783B" w14:textId="3B7C3E59" w:rsidR="00B61524" w:rsidRPr="00112E4F" w:rsidRDefault="00B61524" w:rsidP="00112E4F">
      <w:pPr>
        <w:pStyle w:val="Default"/>
        <w:spacing w:after="120"/>
        <w:jc w:val="center"/>
        <w:rPr>
          <w:rFonts w:ascii="Times New Roman" w:hAnsi="Times New Roman" w:cs="Times New Roman"/>
          <w:b/>
          <w:color w:val="auto"/>
        </w:rPr>
      </w:pPr>
      <w:r w:rsidRPr="00112E4F">
        <w:rPr>
          <w:rFonts w:ascii="Times New Roman" w:hAnsi="Times New Roman" w:cs="Times New Roman"/>
          <w:b/>
          <w:color w:val="auto"/>
        </w:rPr>
        <w:t>A</w:t>
      </w:r>
      <w:r w:rsidR="00563DBC">
        <w:rPr>
          <w:rFonts w:ascii="Times New Roman" w:hAnsi="Times New Roman" w:cs="Times New Roman"/>
          <w:b/>
          <w:color w:val="auto"/>
        </w:rPr>
        <w:t xml:space="preserve">rms </w:t>
      </w:r>
      <w:r w:rsidRPr="00112E4F">
        <w:rPr>
          <w:rFonts w:ascii="Times New Roman" w:hAnsi="Times New Roman" w:cs="Times New Roman"/>
          <w:b/>
          <w:color w:val="auto"/>
        </w:rPr>
        <w:t>T</w:t>
      </w:r>
      <w:r w:rsidR="00563DBC">
        <w:rPr>
          <w:rFonts w:ascii="Times New Roman" w:hAnsi="Times New Roman" w:cs="Times New Roman"/>
          <w:b/>
          <w:color w:val="auto"/>
        </w:rPr>
        <w:t xml:space="preserve">rade </w:t>
      </w:r>
      <w:r w:rsidRPr="00112E4F">
        <w:rPr>
          <w:rFonts w:ascii="Times New Roman" w:hAnsi="Times New Roman" w:cs="Times New Roman"/>
          <w:b/>
          <w:color w:val="auto"/>
        </w:rPr>
        <w:t>T</w:t>
      </w:r>
      <w:r w:rsidR="00563DBC">
        <w:rPr>
          <w:rFonts w:ascii="Times New Roman" w:hAnsi="Times New Roman" w:cs="Times New Roman"/>
          <w:b/>
          <w:color w:val="auto"/>
        </w:rPr>
        <w:t xml:space="preserve">reaty </w:t>
      </w:r>
      <w:r w:rsidRPr="00112E4F">
        <w:rPr>
          <w:rFonts w:ascii="Times New Roman" w:hAnsi="Times New Roman" w:cs="Times New Roman"/>
          <w:b/>
          <w:color w:val="auto"/>
        </w:rPr>
        <w:t xml:space="preserve">Working Group </w:t>
      </w:r>
      <w:r w:rsidR="006E7423">
        <w:rPr>
          <w:rFonts w:ascii="Times New Roman" w:hAnsi="Times New Roman" w:cs="Times New Roman"/>
          <w:b/>
          <w:color w:val="auto"/>
        </w:rPr>
        <w:t>Me</w:t>
      </w:r>
      <w:r w:rsidRPr="00112E4F">
        <w:rPr>
          <w:rFonts w:ascii="Times New Roman" w:hAnsi="Times New Roman" w:cs="Times New Roman"/>
          <w:b/>
          <w:color w:val="auto"/>
        </w:rPr>
        <w:t>etings</w:t>
      </w:r>
    </w:p>
    <w:p w14:paraId="58DBD9E0" w14:textId="73B75BB7" w:rsidR="009A2867" w:rsidRPr="009A2867" w:rsidRDefault="009A2867" w:rsidP="009A2867">
      <w:pPr>
        <w:tabs>
          <w:tab w:val="left" w:pos="2805"/>
        </w:tabs>
        <w:spacing w:line="276" w:lineRule="auto"/>
        <w:jc w:val="center"/>
        <w:rPr>
          <w:rFonts w:ascii="Times New Roman" w:hAnsi="Times New Roman" w:cs="Times New Roman"/>
          <w:b/>
          <w:sz w:val="24"/>
          <w:szCs w:val="24"/>
        </w:rPr>
      </w:pPr>
      <w:r w:rsidRPr="009A2867">
        <w:rPr>
          <w:rFonts w:ascii="Times New Roman" w:hAnsi="Times New Roman" w:cs="Times New Roman"/>
          <w:b/>
          <w:sz w:val="24"/>
          <w:szCs w:val="24"/>
        </w:rPr>
        <w:t>Working Group on Effective Treaty Implementation</w:t>
      </w:r>
    </w:p>
    <w:p w14:paraId="057C7CFA" w14:textId="04E824E3" w:rsidR="00B61524" w:rsidRPr="00112E4F" w:rsidRDefault="00B61524" w:rsidP="00112E4F">
      <w:pPr>
        <w:pStyle w:val="Default"/>
        <w:spacing w:after="120"/>
        <w:jc w:val="center"/>
        <w:rPr>
          <w:rFonts w:ascii="Times New Roman" w:hAnsi="Times New Roman" w:cs="Times New Roman"/>
          <w:b/>
          <w:color w:val="auto"/>
        </w:rPr>
      </w:pPr>
      <w:r w:rsidRPr="00112E4F">
        <w:rPr>
          <w:rFonts w:ascii="Times New Roman" w:hAnsi="Times New Roman" w:cs="Times New Roman"/>
          <w:b/>
          <w:color w:val="auto"/>
        </w:rPr>
        <w:t>Geneva, 16-19 March 2026</w:t>
      </w:r>
    </w:p>
    <w:p w14:paraId="21ED5CE8" w14:textId="72C78666" w:rsidR="00563DBC" w:rsidRPr="002C4C1B" w:rsidRDefault="002C4C1B" w:rsidP="00563DBC">
      <w:pPr>
        <w:tabs>
          <w:tab w:val="left" w:pos="2805"/>
        </w:tabs>
        <w:spacing w:line="276" w:lineRule="auto"/>
        <w:jc w:val="center"/>
        <w:rPr>
          <w:rFonts w:ascii="Times New Roman" w:hAnsi="Times New Roman" w:cs="Times New Roman"/>
          <w:bCs/>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75E35">
        <w:rPr>
          <w:rFonts w:ascii="Times New Roman" w:hAnsi="Times New Roman" w:cs="Times New Roman"/>
          <w:b/>
          <w:sz w:val="24"/>
          <w:szCs w:val="24"/>
        </w:rPr>
        <w:tab/>
      </w:r>
    </w:p>
    <w:p w14:paraId="12CAEAF3" w14:textId="77777777" w:rsidR="009A2867" w:rsidRDefault="009A2867" w:rsidP="0082201F">
      <w:pPr>
        <w:spacing w:after="120" w:line="240" w:lineRule="auto"/>
        <w:jc w:val="both"/>
        <w:rPr>
          <w:rFonts w:ascii="Times New Roman" w:hAnsi="Times New Roman" w:cs="Times New Roman"/>
          <w:sz w:val="24"/>
          <w:szCs w:val="24"/>
        </w:rPr>
      </w:pPr>
    </w:p>
    <w:p w14:paraId="10F71429" w14:textId="5C465F82" w:rsidR="0082201F" w:rsidRPr="0082201F" w:rsidRDefault="0082201F" w:rsidP="0082201F">
      <w:pPr>
        <w:spacing w:after="120" w:line="240" w:lineRule="auto"/>
        <w:jc w:val="both"/>
        <w:rPr>
          <w:rFonts w:ascii="Times New Roman" w:hAnsi="Times New Roman" w:cs="Times New Roman"/>
          <w:sz w:val="24"/>
          <w:szCs w:val="24"/>
        </w:rPr>
      </w:pPr>
      <w:r w:rsidRPr="0082201F">
        <w:rPr>
          <w:rFonts w:ascii="Times New Roman" w:hAnsi="Times New Roman" w:cs="Times New Roman"/>
          <w:sz w:val="24"/>
          <w:szCs w:val="24"/>
        </w:rPr>
        <w:t>I have the honour to speak on behalf of the E</w:t>
      </w:r>
      <w:r>
        <w:rPr>
          <w:rFonts w:ascii="Times New Roman" w:hAnsi="Times New Roman" w:cs="Times New Roman"/>
          <w:sz w:val="24"/>
          <w:szCs w:val="24"/>
        </w:rPr>
        <w:t xml:space="preserve">uropean </w:t>
      </w:r>
      <w:r w:rsidRPr="0082201F">
        <w:rPr>
          <w:rFonts w:ascii="Times New Roman" w:hAnsi="Times New Roman" w:cs="Times New Roman"/>
          <w:sz w:val="24"/>
          <w:szCs w:val="24"/>
        </w:rPr>
        <w:t>U</w:t>
      </w:r>
      <w:r>
        <w:rPr>
          <w:rFonts w:ascii="Times New Roman" w:hAnsi="Times New Roman" w:cs="Times New Roman"/>
          <w:sz w:val="24"/>
          <w:szCs w:val="24"/>
        </w:rPr>
        <w:t>nion</w:t>
      </w:r>
      <w:r w:rsidRPr="0082201F">
        <w:rPr>
          <w:rFonts w:ascii="Times New Roman" w:hAnsi="Times New Roman" w:cs="Times New Roman"/>
          <w:sz w:val="24"/>
          <w:szCs w:val="24"/>
        </w:rPr>
        <w:t xml:space="preserve"> and its Member States.</w:t>
      </w:r>
    </w:p>
    <w:p w14:paraId="71CD364B" w14:textId="2258BCC2" w:rsidR="0082201F" w:rsidRPr="0082201F" w:rsidRDefault="0082201F" w:rsidP="0082201F">
      <w:pPr>
        <w:spacing w:after="120" w:line="240" w:lineRule="auto"/>
        <w:jc w:val="both"/>
        <w:rPr>
          <w:rFonts w:ascii="Times New Roman" w:hAnsi="Times New Roman" w:cs="Times New Roman"/>
          <w:sz w:val="24"/>
          <w:szCs w:val="24"/>
        </w:rPr>
      </w:pPr>
      <w:r w:rsidRPr="0082201F">
        <w:rPr>
          <w:rFonts w:ascii="Times New Roman" w:hAnsi="Times New Roman" w:cs="Times New Roman"/>
          <w:sz w:val="24"/>
          <w:szCs w:val="24"/>
        </w:rPr>
        <w:t xml:space="preserve">The candidate countries North Macedonia, </w:t>
      </w:r>
      <w:r w:rsidR="009970E7">
        <w:rPr>
          <w:rFonts w:ascii="Times New Roman" w:hAnsi="Times New Roman" w:cs="Times New Roman"/>
          <w:sz w:val="24"/>
          <w:szCs w:val="24"/>
        </w:rPr>
        <w:t xml:space="preserve">Montenegro, </w:t>
      </w:r>
      <w:r w:rsidRPr="0082201F">
        <w:rPr>
          <w:rFonts w:ascii="Times New Roman" w:hAnsi="Times New Roman" w:cs="Times New Roman"/>
          <w:sz w:val="24"/>
          <w:szCs w:val="24"/>
        </w:rPr>
        <w:t>Serbia</w:t>
      </w:r>
      <w:r w:rsidR="006B6665">
        <w:rPr>
          <w:rFonts w:ascii="Times New Roman" w:hAnsi="Times New Roman" w:cs="Times New Roman"/>
          <w:sz w:val="24"/>
          <w:szCs w:val="24"/>
        </w:rPr>
        <w:t xml:space="preserve">, </w:t>
      </w:r>
      <w:r w:rsidRPr="0082201F">
        <w:rPr>
          <w:rFonts w:ascii="Times New Roman" w:hAnsi="Times New Roman" w:cs="Times New Roman"/>
          <w:sz w:val="24"/>
          <w:szCs w:val="24"/>
        </w:rPr>
        <w:t>Albania</w:t>
      </w:r>
      <w:r w:rsidR="006B6665">
        <w:rPr>
          <w:rFonts w:ascii="Times New Roman" w:hAnsi="Times New Roman" w:cs="Times New Roman"/>
          <w:sz w:val="24"/>
          <w:szCs w:val="24"/>
        </w:rPr>
        <w:t xml:space="preserve">, </w:t>
      </w:r>
      <w:r w:rsidR="009F476A">
        <w:rPr>
          <w:rFonts w:ascii="Times New Roman" w:hAnsi="Times New Roman" w:cs="Times New Roman"/>
          <w:sz w:val="24"/>
          <w:szCs w:val="24"/>
        </w:rPr>
        <w:t>Republic of Moldova</w:t>
      </w:r>
      <w:r w:rsidR="00364B59">
        <w:rPr>
          <w:rStyle w:val="FootnoteReference"/>
          <w:rFonts w:ascii="Times New Roman" w:hAnsi="Times New Roman" w:cs="Times New Roman"/>
          <w:sz w:val="24"/>
          <w:szCs w:val="24"/>
        </w:rPr>
        <w:footnoteReference w:id="1"/>
      </w:r>
      <w:r w:rsidR="00364B59">
        <w:rPr>
          <w:rFonts w:ascii="Times New Roman" w:hAnsi="Times New Roman" w:cs="Times New Roman"/>
          <w:sz w:val="24"/>
          <w:szCs w:val="24"/>
        </w:rPr>
        <w:t xml:space="preserve"> as well as </w:t>
      </w:r>
      <w:r w:rsidR="006B6665">
        <w:rPr>
          <w:rFonts w:ascii="Times New Roman" w:hAnsi="Times New Roman" w:cs="Times New Roman"/>
          <w:sz w:val="24"/>
          <w:szCs w:val="24"/>
        </w:rPr>
        <w:t>the EFTA countr</w:t>
      </w:r>
      <w:r w:rsidR="00364B59">
        <w:rPr>
          <w:rFonts w:ascii="Times New Roman" w:hAnsi="Times New Roman" w:cs="Times New Roman"/>
          <w:sz w:val="24"/>
          <w:szCs w:val="24"/>
        </w:rPr>
        <w:t>ies Iceland and</w:t>
      </w:r>
      <w:r w:rsidR="006B6665">
        <w:rPr>
          <w:rFonts w:ascii="Times New Roman" w:hAnsi="Times New Roman" w:cs="Times New Roman"/>
          <w:sz w:val="24"/>
          <w:szCs w:val="24"/>
        </w:rPr>
        <w:t xml:space="preserve"> Norway, member</w:t>
      </w:r>
      <w:r w:rsidR="00364B59">
        <w:rPr>
          <w:rFonts w:ascii="Times New Roman" w:hAnsi="Times New Roman" w:cs="Times New Roman"/>
          <w:sz w:val="24"/>
          <w:szCs w:val="24"/>
        </w:rPr>
        <w:t>s</w:t>
      </w:r>
      <w:r w:rsidR="006B6665">
        <w:rPr>
          <w:rFonts w:ascii="Times New Roman" w:hAnsi="Times New Roman" w:cs="Times New Roman"/>
          <w:sz w:val="24"/>
          <w:szCs w:val="24"/>
        </w:rPr>
        <w:t xml:space="preserve"> of the European Economic Area,</w:t>
      </w:r>
      <w:r w:rsidRPr="0082201F">
        <w:rPr>
          <w:rFonts w:ascii="Times New Roman" w:hAnsi="Times New Roman" w:cs="Times New Roman"/>
          <w:sz w:val="24"/>
          <w:szCs w:val="24"/>
        </w:rPr>
        <w:t xml:space="preserve"> align themselves with this statement.</w:t>
      </w:r>
    </w:p>
    <w:p w14:paraId="02D6AAC1" w14:textId="77777777" w:rsidR="0082201F" w:rsidRDefault="0082201F" w:rsidP="00563DBC">
      <w:pPr>
        <w:spacing w:after="120" w:line="240" w:lineRule="auto"/>
        <w:jc w:val="both"/>
        <w:rPr>
          <w:rFonts w:ascii="Times New Roman" w:hAnsi="Times New Roman" w:cs="Times New Roman"/>
          <w:b/>
          <w:bCs/>
          <w:sz w:val="24"/>
          <w:szCs w:val="24"/>
        </w:rPr>
      </w:pPr>
    </w:p>
    <w:p w14:paraId="3DFD33C2" w14:textId="0F4FC8CA" w:rsidR="00E07EE8" w:rsidRPr="00112E4F" w:rsidRDefault="00C95270" w:rsidP="00563DBC">
      <w:pPr>
        <w:spacing w:after="120" w:line="240" w:lineRule="auto"/>
        <w:jc w:val="both"/>
        <w:rPr>
          <w:rFonts w:ascii="Times New Roman" w:hAnsi="Times New Roman" w:cs="Times New Roman"/>
          <w:sz w:val="24"/>
          <w:szCs w:val="24"/>
        </w:rPr>
      </w:pPr>
      <w:r w:rsidRPr="00C95270">
        <w:rPr>
          <w:rFonts w:ascii="Times New Roman" w:hAnsi="Times New Roman" w:cs="Times New Roman"/>
          <w:b/>
          <w:bCs/>
          <w:sz w:val="24"/>
          <w:szCs w:val="24"/>
        </w:rPr>
        <w:t>Sub-working Group on Exchange of National Implementation</w:t>
      </w:r>
      <w:r w:rsidRPr="00112E4F">
        <w:rPr>
          <w:rFonts w:ascii="Times New Roman" w:hAnsi="Times New Roman" w:cs="Times New Roman"/>
          <w:b/>
          <w:bCs/>
          <w:sz w:val="24"/>
          <w:szCs w:val="24"/>
        </w:rPr>
        <w:t xml:space="preserve"> Practices</w:t>
      </w:r>
    </w:p>
    <w:p w14:paraId="47E4E8C0" w14:textId="7EAE149B" w:rsidR="00C95270"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2</w:t>
      </w:r>
      <w:r w:rsidR="00C95270" w:rsidRPr="00112E4F">
        <w:rPr>
          <w:rFonts w:ascii="Times New Roman" w:hAnsi="Times New Roman" w:cs="Times New Roman"/>
          <w:sz w:val="24"/>
          <w:szCs w:val="24"/>
          <w:u w:val="single"/>
        </w:rPr>
        <w:t xml:space="preserve">: </w:t>
      </w:r>
      <w:r w:rsidR="000E6FC3">
        <w:rPr>
          <w:rFonts w:ascii="Times New Roman" w:hAnsi="Times New Roman" w:cs="Times New Roman"/>
          <w:sz w:val="24"/>
          <w:szCs w:val="24"/>
          <w:u w:val="single"/>
        </w:rPr>
        <w:t>N</w:t>
      </w:r>
      <w:r w:rsidR="00C95270" w:rsidRPr="00112E4F">
        <w:rPr>
          <w:rFonts w:ascii="Times New Roman" w:hAnsi="Times New Roman" w:cs="Times New Roman"/>
          <w:sz w:val="24"/>
          <w:szCs w:val="24"/>
          <w:u w:val="single"/>
        </w:rPr>
        <w:t>ational control system</w:t>
      </w:r>
      <w:r w:rsidRPr="00112E4F">
        <w:rPr>
          <w:rFonts w:ascii="Times New Roman" w:hAnsi="Times New Roman" w:cs="Times New Roman"/>
          <w:sz w:val="24"/>
          <w:szCs w:val="24"/>
          <w:u w:val="single"/>
        </w:rPr>
        <w:t xml:space="preserve"> -</w:t>
      </w:r>
      <w:r w:rsidR="00C95270" w:rsidRPr="00112E4F">
        <w:rPr>
          <w:rFonts w:ascii="Times New Roman" w:hAnsi="Times New Roman" w:cs="Times New Roman"/>
          <w:sz w:val="24"/>
          <w:szCs w:val="24"/>
          <w:u w:val="single"/>
        </w:rPr>
        <w:t xml:space="preserve"> </w:t>
      </w:r>
      <w:r w:rsidRPr="00112E4F">
        <w:rPr>
          <w:rFonts w:ascii="Times New Roman" w:hAnsi="Times New Roman" w:cs="Times New Roman"/>
          <w:sz w:val="24"/>
          <w:szCs w:val="24"/>
          <w:u w:val="single"/>
        </w:rPr>
        <w:t>B</w:t>
      </w:r>
      <w:r w:rsidR="00C95270" w:rsidRPr="00112E4F">
        <w:rPr>
          <w:rFonts w:ascii="Times New Roman" w:hAnsi="Times New Roman" w:cs="Times New Roman"/>
          <w:sz w:val="24"/>
          <w:szCs w:val="24"/>
          <w:u w:val="single"/>
        </w:rPr>
        <w:t>rokering</w:t>
      </w:r>
    </w:p>
    <w:p w14:paraId="27A48EF3" w14:textId="318A651E" w:rsidR="005465A0" w:rsidRPr="00112E4F" w:rsidRDefault="005465A0" w:rsidP="00563DBC">
      <w:pPr>
        <w:pStyle w:val="ListParagraph"/>
        <w:numPr>
          <w:ilvl w:val="0"/>
          <w:numId w:val="1"/>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Even though the focus of the discussion is national systems, the EU finds</w:t>
      </w:r>
      <w:r w:rsidRPr="008E5A86">
        <w:rPr>
          <w:rFonts w:ascii="Times New Roman" w:hAnsi="Times New Roman" w:cs="Times New Roman"/>
          <w:sz w:val="24"/>
          <w:szCs w:val="24"/>
        </w:rPr>
        <w:t xml:space="preserve"> </w:t>
      </w:r>
      <w:r w:rsidR="006E7423" w:rsidRPr="008E5A86">
        <w:rPr>
          <w:rFonts w:ascii="Times New Roman" w:hAnsi="Times New Roman" w:cs="Times New Roman"/>
          <w:sz w:val="24"/>
          <w:szCs w:val="24"/>
        </w:rPr>
        <w:t>it</w:t>
      </w:r>
      <w:r w:rsidR="006E7423">
        <w:rPr>
          <w:rFonts w:ascii="Times New Roman" w:hAnsi="Times New Roman" w:cs="Times New Roman"/>
          <w:sz w:val="24"/>
          <w:szCs w:val="24"/>
        </w:rPr>
        <w:t xml:space="preserve"> </w:t>
      </w:r>
      <w:r w:rsidRPr="00112E4F">
        <w:rPr>
          <w:rFonts w:ascii="Times New Roman" w:hAnsi="Times New Roman" w:cs="Times New Roman"/>
          <w:sz w:val="24"/>
          <w:szCs w:val="24"/>
        </w:rPr>
        <w:t>potentially useful to share elements of regulation</w:t>
      </w:r>
      <w:r w:rsidR="00C6620D" w:rsidRPr="00674316">
        <w:rPr>
          <w:rFonts w:ascii="Times New Roman" w:hAnsi="Times New Roman" w:cs="Times New Roman"/>
          <w:sz w:val="24"/>
          <w:szCs w:val="24"/>
        </w:rPr>
        <w:t>s</w:t>
      </w:r>
      <w:r w:rsidRPr="00112E4F">
        <w:rPr>
          <w:rFonts w:ascii="Times New Roman" w:hAnsi="Times New Roman" w:cs="Times New Roman"/>
          <w:sz w:val="24"/>
          <w:szCs w:val="24"/>
        </w:rPr>
        <w:t xml:space="preserve"> of arms brokering which are common to the 27 EU Member States under the EU Council Common Position of 23 June 2003:</w:t>
      </w:r>
    </w:p>
    <w:p w14:paraId="2719F329" w14:textId="6DF93DB7" w:rsidR="009A5964" w:rsidRPr="00112E4F" w:rsidRDefault="00C95270" w:rsidP="00563DBC">
      <w:pPr>
        <w:pStyle w:val="ListParagraph"/>
        <w:numPr>
          <w:ilvl w:val="0"/>
          <w:numId w:val="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Member States share a common definition of arms brokering: </w:t>
      </w:r>
      <w:r w:rsidR="009A5964" w:rsidRPr="00112E4F">
        <w:rPr>
          <w:rFonts w:ascii="Times New Roman" w:hAnsi="Times New Roman" w:cs="Times New Roman"/>
          <w:sz w:val="24"/>
          <w:szCs w:val="24"/>
        </w:rPr>
        <w:t xml:space="preserve">brokering activities are activities of persons and entities: 1) negotiating or arranging </w:t>
      </w:r>
      <w:r w:rsidR="005465A0" w:rsidRPr="00112E4F">
        <w:rPr>
          <w:rFonts w:ascii="Times New Roman" w:hAnsi="Times New Roman" w:cs="Times New Roman"/>
          <w:sz w:val="24"/>
          <w:szCs w:val="24"/>
        </w:rPr>
        <w:t>t</w:t>
      </w:r>
      <w:r w:rsidR="009A5964" w:rsidRPr="00112E4F">
        <w:rPr>
          <w:rFonts w:ascii="Times New Roman" w:hAnsi="Times New Roman" w:cs="Times New Roman"/>
          <w:sz w:val="24"/>
          <w:szCs w:val="24"/>
        </w:rPr>
        <w:t xml:space="preserve">ransactions that may involve the transfer of items </w:t>
      </w:r>
      <w:r w:rsidR="000E6FC3">
        <w:rPr>
          <w:rFonts w:ascii="Times New Roman" w:hAnsi="Times New Roman" w:cs="Times New Roman"/>
          <w:sz w:val="24"/>
          <w:szCs w:val="24"/>
        </w:rPr>
        <w:t>under</w:t>
      </w:r>
      <w:r w:rsidR="009A5964" w:rsidRPr="00112E4F">
        <w:rPr>
          <w:rFonts w:ascii="Times New Roman" w:hAnsi="Times New Roman" w:cs="Times New Roman"/>
          <w:sz w:val="24"/>
          <w:szCs w:val="24"/>
        </w:rPr>
        <w:t xml:space="preserve"> the EU Common Military List (which also includes the entire scope of items covered by the ATT) from a third country to any other third country, or 2) who buy, sell, or arrange the transfer of such items that are in their ownership from a third country to any other third country.</w:t>
      </w:r>
    </w:p>
    <w:p w14:paraId="00A8A311" w14:textId="744EB502" w:rsidR="00AD5939" w:rsidRPr="00112E4F" w:rsidRDefault="009A5964" w:rsidP="00563DBC">
      <w:pPr>
        <w:pStyle w:val="ListParagraph"/>
        <w:numPr>
          <w:ilvl w:val="0"/>
          <w:numId w:val="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Member States are obliged to take all necessary measures to control brokering activities taking place within their territory and are encouraged to consider controlling brokering activities outside of their territory carried out by brokers of their nationality resident or established in their territory.</w:t>
      </w:r>
      <w:r w:rsidR="008E233E" w:rsidRPr="00112E4F">
        <w:rPr>
          <w:rFonts w:ascii="Times New Roman" w:hAnsi="Times New Roman" w:cs="Times New Roman"/>
          <w:sz w:val="24"/>
          <w:szCs w:val="24"/>
        </w:rPr>
        <w:t xml:space="preserve"> </w:t>
      </w:r>
      <w:r w:rsidR="00F04985" w:rsidRPr="00112E4F">
        <w:rPr>
          <w:rFonts w:ascii="Times New Roman" w:hAnsi="Times New Roman" w:cs="Times New Roman"/>
          <w:sz w:val="24"/>
          <w:szCs w:val="24"/>
        </w:rPr>
        <w:t xml:space="preserve">The license or written authorization shall be obtained in a Member State where </w:t>
      </w:r>
      <w:r w:rsidR="00EC1E93" w:rsidRPr="008E5A86">
        <w:rPr>
          <w:rFonts w:ascii="Times New Roman" w:hAnsi="Times New Roman" w:cs="Times New Roman"/>
          <w:sz w:val="24"/>
          <w:szCs w:val="24"/>
        </w:rPr>
        <w:t xml:space="preserve">the </w:t>
      </w:r>
      <w:r w:rsidR="00F04985" w:rsidRPr="008E5A86">
        <w:rPr>
          <w:rFonts w:ascii="Times New Roman" w:hAnsi="Times New Roman" w:cs="Times New Roman"/>
          <w:sz w:val="24"/>
          <w:szCs w:val="24"/>
        </w:rPr>
        <w:t xml:space="preserve">activities </w:t>
      </w:r>
      <w:r w:rsidR="00EC1E93" w:rsidRPr="008E5A86">
        <w:rPr>
          <w:rFonts w:ascii="Times New Roman" w:hAnsi="Times New Roman" w:cs="Times New Roman"/>
          <w:sz w:val="24"/>
          <w:szCs w:val="24"/>
        </w:rPr>
        <w:t xml:space="preserve">will </w:t>
      </w:r>
      <w:r w:rsidR="00F04985" w:rsidRPr="008E5A86">
        <w:rPr>
          <w:rFonts w:ascii="Times New Roman" w:hAnsi="Times New Roman" w:cs="Times New Roman"/>
          <w:sz w:val="24"/>
          <w:szCs w:val="24"/>
        </w:rPr>
        <w:t>take</w:t>
      </w:r>
      <w:r w:rsidR="00F04985" w:rsidRPr="00112E4F">
        <w:rPr>
          <w:rFonts w:ascii="Times New Roman" w:hAnsi="Times New Roman" w:cs="Times New Roman"/>
          <w:sz w:val="24"/>
          <w:szCs w:val="24"/>
        </w:rPr>
        <w:t xml:space="preserve"> place</w:t>
      </w:r>
      <w:r w:rsidR="00AD5939" w:rsidRPr="00112E4F">
        <w:rPr>
          <w:rFonts w:ascii="Times New Roman" w:hAnsi="Times New Roman" w:cs="Times New Roman"/>
          <w:sz w:val="24"/>
          <w:szCs w:val="24"/>
        </w:rPr>
        <w:t>, and, when required by national legislation, where the broker is resident or established. The criteria used for assessing applications are the same as for licenses for arms exports, which</w:t>
      </w:r>
      <w:r w:rsidR="000E6FC3">
        <w:rPr>
          <w:rFonts w:ascii="Times New Roman" w:hAnsi="Times New Roman" w:cs="Times New Roman"/>
          <w:sz w:val="24"/>
          <w:szCs w:val="24"/>
        </w:rPr>
        <w:t>,</w:t>
      </w:r>
      <w:r w:rsidR="00AD5939" w:rsidRPr="00112E4F">
        <w:rPr>
          <w:rFonts w:ascii="Times New Roman" w:hAnsi="Times New Roman" w:cs="Times New Roman"/>
          <w:sz w:val="24"/>
          <w:szCs w:val="24"/>
        </w:rPr>
        <w:t xml:space="preserve"> in the case of the EU</w:t>
      </w:r>
      <w:r w:rsidR="000E6FC3">
        <w:rPr>
          <w:rFonts w:ascii="Times New Roman" w:hAnsi="Times New Roman" w:cs="Times New Roman"/>
          <w:sz w:val="24"/>
          <w:szCs w:val="24"/>
        </w:rPr>
        <w:t>,</w:t>
      </w:r>
      <w:r w:rsidR="00AD5939" w:rsidRPr="00112E4F">
        <w:rPr>
          <w:rFonts w:ascii="Times New Roman" w:hAnsi="Times New Roman" w:cs="Times New Roman"/>
          <w:sz w:val="24"/>
          <w:szCs w:val="24"/>
        </w:rPr>
        <w:t xml:space="preserve"> is the EU Common Position 2008/944, last amended in 2025. </w:t>
      </w:r>
    </w:p>
    <w:p w14:paraId="0CD674FA" w14:textId="3C5D4E87" w:rsidR="009A5964" w:rsidRPr="00112E4F" w:rsidRDefault="008E233E" w:rsidP="00563DBC">
      <w:pPr>
        <w:pStyle w:val="ListParagraph"/>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measures to implement </w:t>
      </w:r>
      <w:r w:rsidR="00AD5939" w:rsidRPr="00112E4F">
        <w:rPr>
          <w:rFonts w:ascii="Times New Roman" w:hAnsi="Times New Roman" w:cs="Times New Roman"/>
          <w:sz w:val="24"/>
          <w:szCs w:val="24"/>
        </w:rPr>
        <w:t>these</w:t>
      </w:r>
      <w:r w:rsidRPr="00112E4F">
        <w:rPr>
          <w:rFonts w:ascii="Times New Roman" w:hAnsi="Times New Roman" w:cs="Times New Roman"/>
          <w:sz w:val="24"/>
          <w:szCs w:val="24"/>
        </w:rPr>
        <w:t xml:space="preserve"> obligations, as well as any other measures to regulate arms brokering beyond </w:t>
      </w:r>
      <w:r w:rsidR="00AD5939" w:rsidRPr="00112E4F">
        <w:rPr>
          <w:rFonts w:ascii="Times New Roman" w:hAnsi="Times New Roman" w:cs="Times New Roman"/>
          <w:sz w:val="24"/>
          <w:szCs w:val="24"/>
        </w:rPr>
        <w:t>these</w:t>
      </w:r>
      <w:r w:rsidRPr="00112E4F">
        <w:rPr>
          <w:rFonts w:ascii="Times New Roman" w:hAnsi="Times New Roman" w:cs="Times New Roman"/>
          <w:sz w:val="24"/>
          <w:szCs w:val="24"/>
        </w:rPr>
        <w:t xml:space="preserve"> obligation</w:t>
      </w:r>
      <w:r w:rsidR="00AD5939" w:rsidRPr="00112E4F">
        <w:rPr>
          <w:rFonts w:ascii="Times New Roman" w:hAnsi="Times New Roman" w:cs="Times New Roman"/>
          <w:sz w:val="24"/>
          <w:szCs w:val="24"/>
        </w:rPr>
        <w:t>s</w:t>
      </w:r>
      <w:r w:rsidRPr="00112E4F">
        <w:rPr>
          <w:rFonts w:ascii="Times New Roman" w:hAnsi="Times New Roman" w:cs="Times New Roman"/>
          <w:sz w:val="24"/>
          <w:szCs w:val="24"/>
        </w:rPr>
        <w:t xml:space="preserve"> are taken nationally by EU Member States.</w:t>
      </w:r>
    </w:p>
    <w:p w14:paraId="08B16211" w14:textId="2D523D97" w:rsidR="005465A0" w:rsidRPr="00112E4F" w:rsidRDefault="00F04985" w:rsidP="00563DBC">
      <w:pPr>
        <w:pStyle w:val="ListParagraph"/>
        <w:numPr>
          <w:ilvl w:val="0"/>
          <w:numId w:val="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Member States </w:t>
      </w:r>
      <w:r w:rsidR="00AD5939" w:rsidRPr="00112E4F">
        <w:rPr>
          <w:rFonts w:ascii="Times New Roman" w:hAnsi="Times New Roman" w:cs="Times New Roman"/>
          <w:sz w:val="24"/>
          <w:szCs w:val="24"/>
        </w:rPr>
        <w:t xml:space="preserve">also must keep records for at least </w:t>
      </w:r>
      <w:r w:rsidR="00FA5FA8" w:rsidRPr="00112E4F">
        <w:rPr>
          <w:rFonts w:ascii="Times New Roman" w:hAnsi="Times New Roman" w:cs="Times New Roman"/>
          <w:sz w:val="24"/>
          <w:szCs w:val="24"/>
        </w:rPr>
        <w:t xml:space="preserve">10 years for licenses or authorizations granted and </w:t>
      </w:r>
      <w:r w:rsidRPr="00112E4F">
        <w:rPr>
          <w:rFonts w:ascii="Times New Roman" w:hAnsi="Times New Roman" w:cs="Times New Roman"/>
          <w:sz w:val="24"/>
          <w:szCs w:val="24"/>
        </w:rPr>
        <w:t xml:space="preserve">may use the EU system for confidential data exchange on arms exports </w:t>
      </w:r>
      <w:r w:rsidR="005C35BE" w:rsidRPr="00112E4F">
        <w:rPr>
          <w:rFonts w:ascii="Times New Roman" w:hAnsi="Times New Roman" w:cs="Times New Roman"/>
          <w:sz w:val="24"/>
          <w:szCs w:val="24"/>
        </w:rPr>
        <w:t>to</w:t>
      </w:r>
      <w:r w:rsidRPr="00112E4F">
        <w:rPr>
          <w:rFonts w:ascii="Times New Roman" w:hAnsi="Times New Roman" w:cs="Times New Roman"/>
          <w:sz w:val="24"/>
          <w:szCs w:val="24"/>
        </w:rPr>
        <w:t xml:space="preserve"> </w:t>
      </w:r>
      <w:r w:rsidRPr="00112E4F">
        <w:rPr>
          <w:rFonts w:ascii="Times New Roman" w:hAnsi="Times New Roman" w:cs="Times New Roman"/>
          <w:sz w:val="24"/>
          <w:szCs w:val="24"/>
        </w:rPr>
        <w:lastRenderedPageBreak/>
        <w:t>share information about denials of registering applications (if applicable) and licensing</w:t>
      </w:r>
      <w:r w:rsidR="00584E9F" w:rsidRPr="00112E4F">
        <w:rPr>
          <w:rFonts w:ascii="Times New Roman" w:hAnsi="Times New Roman" w:cs="Times New Roman"/>
          <w:sz w:val="24"/>
          <w:szCs w:val="24"/>
        </w:rPr>
        <w:t xml:space="preserve"> </w:t>
      </w:r>
      <w:r w:rsidRPr="00112E4F">
        <w:rPr>
          <w:rFonts w:ascii="Times New Roman" w:hAnsi="Times New Roman" w:cs="Times New Roman"/>
          <w:sz w:val="24"/>
          <w:szCs w:val="24"/>
        </w:rPr>
        <w:t xml:space="preserve">applications. </w:t>
      </w:r>
    </w:p>
    <w:p w14:paraId="7C447B6D" w14:textId="2E6E187F" w:rsidR="00C74CA1" w:rsidRPr="00112E4F" w:rsidRDefault="00EC1E93" w:rsidP="00563DBC">
      <w:pPr>
        <w:pStyle w:val="ListParagraph"/>
        <w:numPr>
          <w:ilvl w:val="0"/>
          <w:numId w:val="3"/>
        </w:numPr>
        <w:spacing w:after="120" w:line="240" w:lineRule="auto"/>
        <w:contextualSpacing w:val="0"/>
        <w:jc w:val="both"/>
        <w:rPr>
          <w:rFonts w:ascii="Times New Roman" w:hAnsi="Times New Roman" w:cs="Times New Roman"/>
          <w:sz w:val="24"/>
          <w:szCs w:val="24"/>
        </w:rPr>
      </w:pPr>
      <w:r w:rsidRPr="008E5A86">
        <w:rPr>
          <w:rFonts w:ascii="Times New Roman" w:hAnsi="Times New Roman" w:cs="Times New Roman"/>
          <w:sz w:val="24"/>
          <w:szCs w:val="24"/>
        </w:rPr>
        <w:t>To</w:t>
      </w:r>
      <w:r>
        <w:rPr>
          <w:rFonts w:ascii="Times New Roman" w:hAnsi="Times New Roman" w:cs="Times New Roman"/>
          <w:sz w:val="24"/>
          <w:szCs w:val="24"/>
        </w:rPr>
        <w:t xml:space="preserve"> </w:t>
      </w:r>
      <w:r w:rsidRPr="003703B1">
        <w:rPr>
          <w:rFonts w:ascii="Times New Roman" w:hAnsi="Times New Roman" w:cs="Times New Roman"/>
          <w:sz w:val="24"/>
          <w:szCs w:val="24"/>
        </w:rPr>
        <w:t>s</w:t>
      </w:r>
      <w:r w:rsidR="000E6FC3">
        <w:rPr>
          <w:rFonts w:ascii="Times New Roman" w:hAnsi="Times New Roman" w:cs="Times New Roman"/>
          <w:sz w:val="24"/>
          <w:szCs w:val="24"/>
        </w:rPr>
        <w:t>upport</w:t>
      </w:r>
      <w:r w:rsidR="00FA5FA8" w:rsidRPr="00112E4F">
        <w:rPr>
          <w:rFonts w:ascii="Times New Roman" w:hAnsi="Times New Roman" w:cs="Times New Roman"/>
          <w:sz w:val="24"/>
          <w:szCs w:val="24"/>
        </w:rPr>
        <w:t xml:space="preserve"> transparency in</w:t>
      </w:r>
      <w:r w:rsidR="00FA5FA8" w:rsidRPr="008E5A86">
        <w:rPr>
          <w:rFonts w:ascii="Times New Roman" w:hAnsi="Times New Roman" w:cs="Times New Roman"/>
          <w:sz w:val="24"/>
          <w:szCs w:val="24"/>
        </w:rPr>
        <w:t xml:space="preserve"> </w:t>
      </w:r>
      <w:r w:rsidRPr="008E5A86">
        <w:rPr>
          <w:rFonts w:ascii="Times New Roman" w:hAnsi="Times New Roman" w:cs="Times New Roman"/>
          <w:sz w:val="24"/>
          <w:szCs w:val="24"/>
        </w:rPr>
        <w:t>the</w:t>
      </w:r>
      <w:r>
        <w:rPr>
          <w:rFonts w:ascii="Times New Roman" w:hAnsi="Times New Roman" w:cs="Times New Roman"/>
          <w:sz w:val="24"/>
          <w:szCs w:val="24"/>
        </w:rPr>
        <w:t xml:space="preserve"> </w:t>
      </w:r>
      <w:r w:rsidR="00FA5FA8" w:rsidRPr="00112E4F">
        <w:rPr>
          <w:rFonts w:ascii="Times New Roman" w:hAnsi="Times New Roman" w:cs="Times New Roman"/>
          <w:sz w:val="24"/>
          <w:szCs w:val="24"/>
        </w:rPr>
        <w:t xml:space="preserve">arms trade, </w:t>
      </w:r>
      <w:r w:rsidR="00C74CA1" w:rsidRPr="00112E4F">
        <w:rPr>
          <w:rFonts w:ascii="Times New Roman" w:hAnsi="Times New Roman" w:cs="Times New Roman"/>
          <w:sz w:val="24"/>
          <w:szCs w:val="24"/>
        </w:rPr>
        <w:t>Member States collectively</w:t>
      </w:r>
      <w:r>
        <w:rPr>
          <w:rFonts w:ascii="Times New Roman" w:hAnsi="Times New Roman" w:cs="Times New Roman"/>
          <w:sz w:val="24"/>
          <w:szCs w:val="24"/>
        </w:rPr>
        <w:t xml:space="preserve"> </w:t>
      </w:r>
      <w:r w:rsidRPr="008E5A86">
        <w:rPr>
          <w:rFonts w:ascii="Times New Roman" w:hAnsi="Times New Roman" w:cs="Times New Roman"/>
          <w:sz w:val="24"/>
          <w:szCs w:val="24"/>
        </w:rPr>
        <w:t>publish</w:t>
      </w:r>
      <w:r w:rsidR="00C74CA1" w:rsidRPr="008E5A86">
        <w:rPr>
          <w:rFonts w:ascii="Times New Roman" w:hAnsi="Times New Roman" w:cs="Times New Roman"/>
          <w:sz w:val="24"/>
          <w:szCs w:val="24"/>
        </w:rPr>
        <w:t>,</w:t>
      </w:r>
      <w:r w:rsidR="00C74CA1" w:rsidRPr="00112E4F">
        <w:rPr>
          <w:rFonts w:ascii="Times New Roman" w:hAnsi="Times New Roman" w:cs="Times New Roman"/>
          <w:sz w:val="24"/>
          <w:szCs w:val="24"/>
        </w:rPr>
        <w:t xml:space="preserve"> </w:t>
      </w:r>
      <w:r w:rsidR="00FA5FA8" w:rsidRPr="00112E4F">
        <w:rPr>
          <w:rFonts w:ascii="Times New Roman" w:hAnsi="Times New Roman" w:cs="Times New Roman"/>
          <w:sz w:val="24"/>
          <w:szCs w:val="24"/>
        </w:rPr>
        <w:t>as a part of the EU annual report on arms exports</w:t>
      </w:r>
      <w:r w:rsidR="00C74CA1" w:rsidRPr="00112E4F">
        <w:rPr>
          <w:rFonts w:ascii="Times New Roman" w:hAnsi="Times New Roman" w:cs="Times New Roman"/>
          <w:sz w:val="24"/>
          <w:szCs w:val="24"/>
        </w:rPr>
        <w:t>, information about the number and value of brokering licenses issued, destinations, EU C</w:t>
      </w:r>
      <w:r w:rsidR="00AD0D6D">
        <w:rPr>
          <w:rFonts w:ascii="Times New Roman" w:hAnsi="Times New Roman" w:cs="Times New Roman"/>
          <w:sz w:val="24"/>
          <w:szCs w:val="24"/>
        </w:rPr>
        <w:t xml:space="preserve">ommon </w:t>
      </w:r>
      <w:r w:rsidR="00C74CA1" w:rsidRPr="00112E4F">
        <w:rPr>
          <w:rFonts w:ascii="Times New Roman" w:hAnsi="Times New Roman" w:cs="Times New Roman"/>
          <w:sz w:val="24"/>
          <w:szCs w:val="24"/>
        </w:rPr>
        <w:t>M</w:t>
      </w:r>
      <w:r w:rsidR="00AD0D6D">
        <w:rPr>
          <w:rFonts w:ascii="Times New Roman" w:hAnsi="Times New Roman" w:cs="Times New Roman"/>
          <w:sz w:val="24"/>
          <w:szCs w:val="24"/>
        </w:rPr>
        <w:t xml:space="preserve">ilitary </w:t>
      </w:r>
      <w:r w:rsidR="00C74CA1" w:rsidRPr="00112E4F">
        <w:rPr>
          <w:rFonts w:ascii="Times New Roman" w:hAnsi="Times New Roman" w:cs="Times New Roman"/>
          <w:sz w:val="24"/>
          <w:szCs w:val="24"/>
        </w:rPr>
        <w:t>L</w:t>
      </w:r>
      <w:r w:rsidR="00AD0D6D">
        <w:rPr>
          <w:rFonts w:ascii="Times New Roman" w:hAnsi="Times New Roman" w:cs="Times New Roman"/>
          <w:sz w:val="24"/>
          <w:szCs w:val="24"/>
        </w:rPr>
        <w:t>ist</w:t>
      </w:r>
      <w:r w:rsidR="00C74CA1" w:rsidRPr="00112E4F">
        <w:rPr>
          <w:rFonts w:ascii="Times New Roman" w:hAnsi="Times New Roman" w:cs="Times New Roman"/>
          <w:sz w:val="24"/>
          <w:szCs w:val="24"/>
        </w:rPr>
        <w:t xml:space="preserve"> categories covered, quantity and value of brokered items and the count</w:t>
      </w:r>
      <w:r w:rsidR="00AD0D6D">
        <w:rPr>
          <w:rFonts w:ascii="Times New Roman" w:hAnsi="Times New Roman" w:cs="Times New Roman"/>
          <w:sz w:val="24"/>
          <w:szCs w:val="24"/>
        </w:rPr>
        <w:t>r</w:t>
      </w:r>
      <w:r w:rsidR="00C74CA1" w:rsidRPr="00112E4F">
        <w:rPr>
          <w:rFonts w:ascii="Times New Roman" w:hAnsi="Times New Roman" w:cs="Times New Roman"/>
          <w:sz w:val="24"/>
          <w:szCs w:val="24"/>
        </w:rPr>
        <w:t xml:space="preserve">y of their origin. </w:t>
      </w:r>
    </w:p>
    <w:p w14:paraId="4E659BB8" w14:textId="1055829F" w:rsidR="0095779E" w:rsidRPr="00112E4F" w:rsidRDefault="00AD0D6D" w:rsidP="00563DBC">
      <w:pPr>
        <w:pStyle w:val="ListParagraph"/>
        <w:numPr>
          <w:ilvl w:val="0"/>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C74CA1" w:rsidRPr="00112E4F">
        <w:rPr>
          <w:rFonts w:ascii="Times New Roman" w:hAnsi="Times New Roman" w:cs="Times New Roman"/>
          <w:sz w:val="24"/>
          <w:szCs w:val="24"/>
        </w:rPr>
        <w:t xml:space="preserve">he EU stands ready to support States Parties, free of charge, on </w:t>
      </w:r>
      <w:r w:rsidR="00DB69BC">
        <w:rPr>
          <w:rFonts w:ascii="Times New Roman" w:hAnsi="Times New Roman" w:cs="Times New Roman"/>
          <w:sz w:val="24"/>
          <w:szCs w:val="24"/>
        </w:rPr>
        <w:t>any</w:t>
      </w:r>
      <w:r w:rsidR="00C74CA1" w:rsidRPr="00112E4F">
        <w:rPr>
          <w:rFonts w:ascii="Times New Roman" w:hAnsi="Times New Roman" w:cs="Times New Roman"/>
          <w:sz w:val="24"/>
          <w:szCs w:val="24"/>
        </w:rPr>
        <w:t xml:space="preserve"> </w:t>
      </w:r>
      <w:r w:rsidR="00DB69BC">
        <w:rPr>
          <w:rFonts w:ascii="Times New Roman" w:hAnsi="Times New Roman" w:cs="Times New Roman"/>
          <w:sz w:val="24"/>
          <w:szCs w:val="24"/>
        </w:rPr>
        <w:t>matter</w:t>
      </w:r>
      <w:r w:rsidR="00C74CA1" w:rsidRPr="00112E4F">
        <w:rPr>
          <w:rFonts w:ascii="Times New Roman" w:hAnsi="Times New Roman" w:cs="Times New Roman"/>
          <w:sz w:val="24"/>
          <w:szCs w:val="24"/>
        </w:rPr>
        <w:t xml:space="preserve"> cover</w:t>
      </w:r>
      <w:r>
        <w:rPr>
          <w:rFonts w:ascii="Times New Roman" w:hAnsi="Times New Roman" w:cs="Times New Roman"/>
          <w:sz w:val="24"/>
          <w:szCs w:val="24"/>
        </w:rPr>
        <w:t>ed</w:t>
      </w:r>
      <w:r w:rsidR="00C74CA1" w:rsidRPr="00112E4F">
        <w:rPr>
          <w:rFonts w:ascii="Times New Roman" w:hAnsi="Times New Roman" w:cs="Times New Roman"/>
          <w:sz w:val="24"/>
          <w:szCs w:val="24"/>
        </w:rPr>
        <w:t xml:space="preserve"> by the ATT under the comprehensive EU ATT Outreach Program, subject to detailed arrangement about modalities of the support.</w:t>
      </w:r>
    </w:p>
    <w:p w14:paraId="48DCC3D1" w14:textId="77777777" w:rsidR="00B325AC" w:rsidRPr="00112E4F" w:rsidRDefault="00B325AC" w:rsidP="00563DBC">
      <w:pPr>
        <w:spacing w:after="120" w:line="240" w:lineRule="auto"/>
        <w:jc w:val="both"/>
        <w:rPr>
          <w:rFonts w:ascii="Times New Roman" w:hAnsi="Times New Roman" w:cs="Times New Roman"/>
          <w:i/>
          <w:iCs/>
          <w:sz w:val="24"/>
          <w:szCs w:val="24"/>
        </w:rPr>
      </w:pPr>
    </w:p>
    <w:p w14:paraId="08403CD0" w14:textId="0B26EC58" w:rsidR="00FC6212" w:rsidRPr="00112E4F" w:rsidRDefault="00B325AC" w:rsidP="00563DBC">
      <w:pPr>
        <w:spacing w:after="120" w:line="240" w:lineRule="auto"/>
        <w:jc w:val="both"/>
        <w:rPr>
          <w:rFonts w:ascii="Times New Roman" w:hAnsi="Times New Roman" w:cs="Times New Roman"/>
          <w:b/>
          <w:bCs/>
          <w:sz w:val="24"/>
          <w:szCs w:val="24"/>
        </w:rPr>
      </w:pPr>
      <w:r w:rsidRPr="00C95270">
        <w:rPr>
          <w:rFonts w:ascii="Times New Roman" w:hAnsi="Times New Roman" w:cs="Times New Roman"/>
          <w:b/>
          <w:bCs/>
          <w:sz w:val="24"/>
          <w:szCs w:val="24"/>
        </w:rPr>
        <w:t>Sub-working Group on</w:t>
      </w:r>
      <w:r w:rsidRPr="00112E4F">
        <w:rPr>
          <w:rFonts w:ascii="Times New Roman" w:hAnsi="Times New Roman" w:cs="Times New Roman"/>
          <w:b/>
          <w:bCs/>
          <w:sz w:val="24"/>
          <w:szCs w:val="24"/>
        </w:rPr>
        <w:t xml:space="preserve"> Current and Emerging Implementation Issues</w:t>
      </w:r>
    </w:p>
    <w:p w14:paraId="3C01911D" w14:textId="76E28D1C" w:rsidR="00A84E24"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2: Challenges related to the scope of the Treaty and the establishment and maintenance of a national control list</w:t>
      </w:r>
    </w:p>
    <w:p w14:paraId="1FE098D3" w14:textId="44DED0E1" w:rsidR="002814E0" w:rsidRPr="00112E4F" w:rsidRDefault="00AD0D6D" w:rsidP="00563DBC">
      <w:pPr>
        <w:pStyle w:val="ListParagraph"/>
        <w:numPr>
          <w:ilvl w:val="0"/>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Let me reiterate the EU’s a</w:t>
      </w:r>
      <w:r w:rsidR="002814E0" w:rsidRPr="00112E4F">
        <w:rPr>
          <w:rFonts w:ascii="Times New Roman" w:hAnsi="Times New Roman" w:cs="Times New Roman"/>
          <w:sz w:val="24"/>
          <w:szCs w:val="24"/>
        </w:rPr>
        <w:t>ppreciation to the Chair for structuring th</w:t>
      </w:r>
      <w:r w:rsidR="00BA2606" w:rsidRPr="00112E4F">
        <w:rPr>
          <w:rFonts w:ascii="Times New Roman" w:hAnsi="Times New Roman" w:cs="Times New Roman"/>
          <w:sz w:val="24"/>
          <w:szCs w:val="24"/>
        </w:rPr>
        <w:t>is</w:t>
      </w:r>
      <w:r w:rsidR="002814E0" w:rsidRPr="00112E4F">
        <w:rPr>
          <w:rFonts w:ascii="Times New Roman" w:hAnsi="Times New Roman" w:cs="Times New Roman"/>
          <w:sz w:val="24"/>
          <w:szCs w:val="24"/>
        </w:rPr>
        <w:t xml:space="preserve"> discussion </w:t>
      </w:r>
      <w:r w:rsidR="00BA2606" w:rsidRPr="00112E4F">
        <w:rPr>
          <w:rFonts w:ascii="Times New Roman" w:hAnsi="Times New Roman" w:cs="Times New Roman"/>
          <w:sz w:val="24"/>
          <w:szCs w:val="24"/>
        </w:rPr>
        <w:t>in a good way</w:t>
      </w:r>
      <w:r w:rsidR="002814E0" w:rsidRPr="00112E4F">
        <w:rPr>
          <w:rFonts w:ascii="Times New Roman" w:hAnsi="Times New Roman" w:cs="Times New Roman"/>
          <w:sz w:val="24"/>
          <w:szCs w:val="24"/>
        </w:rPr>
        <w:t xml:space="preserve">. We find it very helpful that </w:t>
      </w:r>
      <w:r w:rsidR="00BA2606" w:rsidRPr="00112E4F">
        <w:rPr>
          <w:rFonts w:ascii="Times New Roman" w:hAnsi="Times New Roman" w:cs="Times New Roman"/>
          <w:sz w:val="24"/>
          <w:szCs w:val="24"/>
        </w:rPr>
        <w:t>d</w:t>
      </w:r>
      <w:r w:rsidR="002814E0" w:rsidRPr="00112E4F">
        <w:rPr>
          <w:rFonts w:ascii="Times New Roman" w:hAnsi="Times New Roman" w:cs="Times New Roman"/>
          <w:sz w:val="24"/>
          <w:szCs w:val="24"/>
        </w:rPr>
        <w:t xml:space="preserve">etailed guidance </w:t>
      </w:r>
      <w:r w:rsidR="00BA2606" w:rsidRPr="00112E4F">
        <w:rPr>
          <w:rFonts w:ascii="Times New Roman" w:hAnsi="Times New Roman" w:cs="Times New Roman"/>
          <w:sz w:val="24"/>
          <w:szCs w:val="24"/>
        </w:rPr>
        <w:t xml:space="preserve">was </w:t>
      </w:r>
      <w:r w:rsidR="00BA2606" w:rsidRPr="008E5A86">
        <w:rPr>
          <w:rFonts w:ascii="Times New Roman" w:hAnsi="Times New Roman" w:cs="Times New Roman"/>
          <w:sz w:val="24"/>
          <w:szCs w:val="24"/>
        </w:rPr>
        <w:t xml:space="preserve">provided </w:t>
      </w:r>
      <w:r w:rsidR="00EC1E93" w:rsidRPr="008E5A86">
        <w:rPr>
          <w:rFonts w:ascii="Times New Roman" w:hAnsi="Times New Roman" w:cs="Times New Roman"/>
          <w:sz w:val="24"/>
          <w:szCs w:val="24"/>
        </w:rPr>
        <w:t>on</w:t>
      </w:r>
      <w:r w:rsidR="00EC1E93">
        <w:rPr>
          <w:rFonts w:ascii="Times New Roman" w:hAnsi="Times New Roman" w:cs="Times New Roman"/>
          <w:sz w:val="24"/>
          <w:szCs w:val="24"/>
        </w:rPr>
        <w:t xml:space="preserve"> </w:t>
      </w:r>
      <w:r w:rsidR="002814E0" w:rsidRPr="00112E4F">
        <w:rPr>
          <w:rFonts w:ascii="Times New Roman" w:hAnsi="Times New Roman" w:cs="Times New Roman"/>
          <w:sz w:val="24"/>
          <w:szCs w:val="24"/>
        </w:rPr>
        <w:t xml:space="preserve">how to frame </w:t>
      </w:r>
      <w:r w:rsidR="00DB69BC">
        <w:rPr>
          <w:rFonts w:ascii="Times New Roman" w:hAnsi="Times New Roman" w:cs="Times New Roman"/>
          <w:sz w:val="24"/>
          <w:szCs w:val="24"/>
        </w:rPr>
        <w:t xml:space="preserve">the </w:t>
      </w:r>
      <w:r w:rsidR="002814E0" w:rsidRPr="00112E4F">
        <w:rPr>
          <w:rFonts w:ascii="Times New Roman" w:hAnsi="Times New Roman" w:cs="Times New Roman"/>
          <w:sz w:val="24"/>
          <w:szCs w:val="24"/>
        </w:rPr>
        <w:t>inputs</w:t>
      </w:r>
      <w:r w:rsidR="00BA2606" w:rsidRPr="00112E4F">
        <w:rPr>
          <w:rFonts w:ascii="Times New Roman" w:hAnsi="Times New Roman" w:cs="Times New Roman"/>
          <w:sz w:val="24"/>
          <w:szCs w:val="24"/>
        </w:rPr>
        <w:t>.</w:t>
      </w:r>
    </w:p>
    <w:p w14:paraId="0F5A94D1" w14:textId="5B61CFB1" w:rsidR="00C2728A" w:rsidRPr="00112E4F" w:rsidRDefault="00C2728A" w:rsidP="00563DBC">
      <w:pPr>
        <w:pStyle w:val="ListParagraph"/>
        <w:numPr>
          <w:ilvl w:val="0"/>
          <w:numId w:val="1"/>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With reference to the guiding questions, let me recall the EU</w:t>
      </w:r>
      <w:r w:rsidR="00AD0D6D">
        <w:rPr>
          <w:rFonts w:ascii="Times New Roman" w:hAnsi="Times New Roman" w:cs="Times New Roman"/>
          <w:sz w:val="24"/>
          <w:szCs w:val="24"/>
        </w:rPr>
        <w:t>’s</w:t>
      </w:r>
      <w:r w:rsidRPr="00112E4F">
        <w:rPr>
          <w:rFonts w:ascii="Times New Roman" w:hAnsi="Times New Roman" w:cs="Times New Roman"/>
          <w:sz w:val="24"/>
          <w:szCs w:val="24"/>
        </w:rPr>
        <w:t xml:space="preserve"> experience with adoption and operation of the </w:t>
      </w:r>
      <w:r w:rsidR="00CF77FD" w:rsidRPr="00112E4F">
        <w:rPr>
          <w:rFonts w:ascii="Times New Roman" w:hAnsi="Times New Roman" w:cs="Times New Roman"/>
          <w:sz w:val="24"/>
          <w:szCs w:val="24"/>
        </w:rPr>
        <w:t xml:space="preserve">legally binding </w:t>
      </w:r>
      <w:r w:rsidRPr="00112E4F">
        <w:rPr>
          <w:rFonts w:ascii="Times New Roman" w:hAnsi="Times New Roman" w:cs="Times New Roman"/>
          <w:sz w:val="24"/>
          <w:szCs w:val="24"/>
        </w:rPr>
        <w:t xml:space="preserve">EU Common Military List, which is a transposition of </w:t>
      </w:r>
      <w:r w:rsidR="00EC1E93" w:rsidRPr="008E5A86">
        <w:rPr>
          <w:rFonts w:ascii="Times New Roman" w:hAnsi="Times New Roman" w:cs="Times New Roman"/>
          <w:sz w:val="24"/>
          <w:szCs w:val="24"/>
        </w:rPr>
        <w:t xml:space="preserve">the </w:t>
      </w:r>
      <w:r w:rsidRPr="008E5A86">
        <w:rPr>
          <w:rFonts w:ascii="Times New Roman" w:hAnsi="Times New Roman" w:cs="Times New Roman"/>
          <w:sz w:val="24"/>
          <w:szCs w:val="24"/>
        </w:rPr>
        <w:t>Wassenaar</w:t>
      </w:r>
      <w:r w:rsidRPr="00112E4F">
        <w:rPr>
          <w:rFonts w:ascii="Times New Roman" w:hAnsi="Times New Roman" w:cs="Times New Roman"/>
          <w:sz w:val="24"/>
          <w:szCs w:val="24"/>
        </w:rPr>
        <w:t xml:space="preserve"> Arrangement’s Munitions List to the EU law, and is binding on EU Member States. </w:t>
      </w:r>
      <w:r w:rsidR="009F5F4E" w:rsidRPr="00112E4F">
        <w:rPr>
          <w:rFonts w:ascii="Times New Roman" w:hAnsi="Times New Roman" w:cs="Times New Roman"/>
          <w:sz w:val="24"/>
          <w:szCs w:val="24"/>
        </w:rPr>
        <w:t>To</w:t>
      </w:r>
      <w:r w:rsidRPr="00112E4F">
        <w:rPr>
          <w:rFonts w:ascii="Times New Roman" w:hAnsi="Times New Roman" w:cs="Times New Roman"/>
          <w:sz w:val="24"/>
          <w:szCs w:val="24"/>
        </w:rPr>
        <w:t xml:space="preserve"> have direct effect for natural and legal persons in legal systems of </w:t>
      </w:r>
      <w:r w:rsidR="00AD0D6D">
        <w:rPr>
          <w:rFonts w:ascii="Times New Roman" w:hAnsi="Times New Roman" w:cs="Times New Roman"/>
          <w:sz w:val="24"/>
          <w:szCs w:val="24"/>
        </w:rPr>
        <w:t xml:space="preserve">EU </w:t>
      </w:r>
      <w:r w:rsidRPr="00112E4F">
        <w:rPr>
          <w:rFonts w:ascii="Times New Roman" w:hAnsi="Times New Roman" w:cs="Times New Roman"/>
          <w:sz w:val="24"/>
          <w:szCs w:val="24"/>
        </w:rPr>
        <w:t xml:space="preserve">Member States, it must be transposed into national legislation. It may be supplemented by additional elements </w:t>
      </w:r>
      <w:r w:rsidR="00DB69BC">
        <w:rPr>
          <w:rFonts w:ascii="Times New Roman" w:hAnsi="Times New Roman" w:cs="Times New Roman"/>
          <w:sz w:val="24"/>
          <w:szCs w:val="24"/>
        </w:rPr>
        <w:t>on</w:t>
      </w:r>
      <w:r w:rsidRPr="00112E4F">
        <w:rPr>
          <w:rFonts w:ascii="Times New Roman" w:hAnsi="Times New Roman" w:cs="Times New Roman"/>
          <w:sz w:val="24"/>
          <w:szCs w:val="24"/>
        </w:rPr>
        <w:t xml:space="preserve"> the national level, thereby forming the common part of possibly broader national control lists.</w:t>
      </w:r>
    </w:p>
    <w:p w14:paraId="6A6C1E59" w14:textId="150263ED" w:rsidR="00C2728A" w:rsidRPr="00112E4F" w:rsidRDefault="00C2728A" w:rsidP="00563DBC">
      <w:pPr>
        <w:pStyle w:val="ListParagraph"/>
        <w:numPr>
          <w:ilvl w:val="0"/>
          <w:numId w:val="1"/>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C</w:t>
      </w:r>
      <w:r w:rsidR="00AD0D6D">
        <w:rPr>
          <w:rFonts w:ascii="Times New Roman" w:hAnsi="Times New Roman" w:cs="Times New Roman"/>
          <w:sz w:val="24"/>
          <w:szCs w:val="24"/>
        </w:rPr>
        <w:t xml:space="preserve">ommon </w:t>
      </w:r>
      <w:r w:rsidRPr="00112E4F">
        <w:rPr>
          <w:rFonts w:ascii="Times New Roman" w:hAnsi="Times New Roman" w:cs="Times New Roman"/>
          <w:sz w:val="24"/>
          <w:szCs w:val="24"/>
        </w:rPr>
        <w:t>M</w:t>
      </w:r>
      <w:r w:rsidR="00AD0D6D">
        <w:rPr>
          <w:rFonts w:ascii="Times New Roman" w:hAnsi="Times New Roman" w:cs="Times New Roman"/>
          <w:sz w:val="24"/>
          <w:szCs w:val="24"/>
        </w:rPr>
        <w:t xml:space="preserve">ilitary </w:t>
      </w:r>
      <w:r w:rsidRPr="00112E4F">
        <w:rPr>
          <w:rFonts w:ascii="Times New Roman" w:hAnsi="Times New Roman" w:cs="Times New Roman"/>
          <w:sz w:val="24"/>
          <w:szCs w:val="24"/>
        </w:rPr>
        <w:t>L</w:t>
      </w:r>
      <w:r w:rsidR="00AD0D6D">
        <w:rPr>
          <w:rFonts w:ascii="Times New Roman" w:hAnsi="Times New Roman" w:cs="Times New Roman"/>
          <w:sz w:val="24"/>
          <w:szCs w:val="24"/>
        </w:rPr>
        <w:t>ist</w:t>
      </w:r>
      <w:r w:rsidRPr="00112E4F">
        <w:rPr>
          <w:rFonts w:ascii="Times New Roman" w:hAnsi="Times New Roman" w:cs="Times New Roman"/>
          <w:sz w:val="24"/>
          <w:szCs w:val="24"/>
        </w:rPr>
        <w:t xml:space="preserve"> is more detailed than the categories </w:t>
      </w:r>
      <w:r w:rsidR="00AD0D6D">
        <w:rPr>
          <w:rFonts w:ascii="Times New Roman" w:hAnsi="Times New Roman" w:cs="Times New Roman"/>
          <w:sz w:val="24"/>
          <w:szCs w:val="24"/>
        </w:rPr>
        <w:t xml:space="preserve">in </w:t>
      </w:r>
      <w:r w:rsidRPr="00112E4F">
        <w:rPr>
          <w:rFonts w:ascii="Times New Roman" w:hAnsi="Times New Roman" w:cs="Times New Roman"/>
          <w:sz w:val="24"/>
          <w:szCs w:val="24"/>
        </w:rPr>
        <w:t>Article 2(1) of the ATT</w:t>
      </w:r>
      <w:r w:rsidR="00AD0D6D">
        <w:rPr>
          <w:rFonts w:ascii="Times New Roman" w:hAnsi="Times New Roman" w:cs="Times New Roman"/>
          <w:sz w:val="24"/>
          <w:szCs w:val="24"/>
        </w:rPr>
        <w:t xml:space="preserve">. It </w:t>
      </w:r>
      <w:r w:rsidRPr="00112E4F">
        <w:rPr>
          <w:rFonts w:ascii="Times New Roman" w:hAnsi="Times New Roman" w:cs="Times New Roman"/>
          <w:sz w:val="24"/>
          <w:szCs w:val="24"/>
        </w:rPr>
        <w:t xml:space="preserve">covers parts and components, in addition to other elements that may contribute </w:t>
      </w:r>
      <w:r w:rsidRPr="008E5A86">
        <w:rPr>
          <w:rFonts w:ascii="Times New Roman" w:hAnsi="Times New Roman" w:cs="Times New Roman"/>
          <w:sz w:val="24"/>
          <w:szCs w:val="24"/>
        </w:rPr>
        <w:t xml:space="preserve">to </w:t>
      </w:r>
      <w:r w:rsidR="00EC1E93" w:rsidRPr="008E5A86">
        <w:rPr>
          <w:rFonts w:ascii="Times New Roman" w:hAnsi="Times New Roman" w:cs="Times New Roman"/>
          <w:sz w:val="24"/>
          <w:szCs w:val="24"/>
        </w:rPr>
        <w:t xml:space="preserve">the </w:t>
      </w:r>
      <w:r w:rsidRPr="008E5A86">
        <w:rPr>
          <w:rFonts w:ascii="Times New Roman" w:hAnsi="Times New Roman" w:cs="Times New Roman"/>
          <w:sz w:val="24"/>
          <w:szCs w:val="24"/>
        </w:rPr>
        <w:t>capability</w:t>
      </w:r>
      <w:r w:rsidRPr="00112E4F">
        <w:rPr>
          <w:rFonts w:ascii="Times New Roman" w:hAnsi="Times New Roman" w:cs="Times New Roman"/>
          <w:sz w:val="24"/>
          <w:szCs w:val="24"/>
        </w:rPr>
        <w:t xml:space="preserve"> of acquiring or domestically manufactu</w:t>
      </w:r>
      <w:r w:rsidRPr="008E5A86">
        <w:rPr>
          <w:rFonts w:ascii="Times New Roman" w:hAnsi="Times New Roman" w:cs="Times New Roman"/>
          <w:sz w:val="24"/>
          <w:szCs w:val="24"/>
        </w:rPr>
        <w:t>r</w:t>
      </w:r>
      <w:r w:rsidR="00EC1E93" w:rsidRPr="008E5A86">
        <w:rPr>
          <w:rFonts w:ascii="Times New Roman" w:hAnsi="Times New Roman" w:cs="Times New Roman"/>
          <w:sz w:val="24"/>
          <w:szCs w:val="24"/>
        </w:rPr>
        <w:t>ing</w:t>
      </w:r>
      <w:r w:rsidRPr="008E5A86">
        <w:rPr>
          <w:rFonts w:ascii="Times New Roman" w:hAnsi="Times New Roman" w:cs="Times New Roman"/>
          <w:sz w:val="24"/>
          <w:szCs w:val="24"/>
        </w:rPr>
        <w:t xml:space="preserve"> </w:t>
      </w:r>
      <w:r w:rsidRPr="00112E4F">
        <w:rPr>
          <w:rFonts w:ascii="Times New Roman" w:hAnsi="Times New Roman" w:cs="Times New Roman"/>
          <w:sz w:val="24"/>
          <w:szCs w:val="24"/>
        </w:rPr>
        <w:t xml:space="preserve">arms and ammunition, such as manufacturing machinery, blueprints and know-how. As such, the </w:t>
      </w:r>
      <w:r w:rsidR="00AD0D6D">
        <w:rPr>
          <w:rFonts w:ascii="Times New Roman" w:hAnsi="Times New Roman" w:cs="Times New Roman"/>
          <w:sz w:val="24"/>
          <w:szCs w:val="24"/>
        </w:rPr>
        <w:t xml:space="preserve">EU </w:t>
      </w:r>
      <w:r w:rsidRPr="00112E4F">
        <w:rPr>
          <w:rFonts w:ascii="Times New Roman" w:hAnsi="Times New Roman" w:cs="Times New Roman"/>
          <w:sz w:val="24"/>
          <w:szCs w:val="24"/>
        </w:rPr>
        <w:t>C</w:t>
      </w:r>
      <w:r w:rsidR="00AD0D6D">
        <w:rPr>
          <w:rFonts w:ascii="Times New Roman" w:hAnsi="Times New Roman" w:cs="Times New Roman"/>
          <w:sz w:val="24"/>
          <w:szCs w:val="24"/>
        </w:rPr>
        <w:t xml:space="preserve">ommon </w:t>
      </w:r>
      <w:r w:rsidRPr="00112E4F">
        <w:rPr>
          <w:rFonts w:ascii="Times New Roman" w:hAnsi="Times New Roman" w:cs="Times New Roman"/>
          <w:sz w:val="24"/>
          <w:szCs w:val="24"/>
        </w:rPr>
        <w:t>M</w:t>
      </w:r>
      <w:r w:rsidR="00AD0D6D">
        <w:rPr>
          <w:rFonts w:ascii="Times New Roman" w:hAnsi="Times New Roman" w:cs="Times New Roman"/>
          <w:sz w:val="24"/>
          <w:szCs w:val="24"/>
        </w:rPr>
        <w:t xml:space="preserve">ilitary </w:t>
      </w:r>
      <w:r w:rsidRPr="00112E4F">
        <w:rPr>
          <w:rFonts w:ascii="Times New Roman" w:hAnsi="Times New Roman" w:cs="Times New Roman"/>
          <w:sz w:val="24"/>
          <w:szCs w:val="24"/>
        </w:rPr>
        <w:t>L</w:t>
      </w:r>
      <w:r w:rsidR="00AD0D6D">
        <w:rPr>
          <w:rFonts w:ascii="Times New Roman" w:hAnsi="Times New Roman" w:cs="Times New Roman"/>
          <w:sz w:val="24"/>
          <w:szCs w:val="24"/>
        </w:rPr>
        <w:t>ist</w:t>
      </w:r>
      <w:r w:rsidRPr="00112E4F">
        <w:rPr>
          <w:rFonts w:ascii="Times New Roman" w:hAnsi="Times New Roman" w:cs="Times New Roman"/>
          <w:sz w:val="24"/>
          <w:szCs w:val="24"/>
        </w:rPr>
        <w:t xml:space="preserve"> is also well suited to address challenges related to the ATT scope. The EU believes that the </w:t>
      </w:r>
      <w:r w:rsidR="00AD0D6D">
        <w:rPr>
          <w:rFonts w:ascii="Times New Roman" w:hAnsi="Times New Roman" w:cs="Times New Roman"/>
          <w:sz w:val="24"/>
          <w:szCs w:val="24"/>
        </w:rPr>
        <w:t xml:space="preserve">EU </w:t>
      </w:r>
      <w:r w:rsidRPr="00112E4F">
        <w:rPr>
          <w:rFonts w:ascii="Times New Roman" w:hAnsi="Times New Roman" w:cs="Times New Roman"/>
          <w:sz w:val="24"/>
          <w:szCs w:val="24"/>
        </w:rPr>
        <w:t>C</w:t>
      </w:r>
      <w:r w:rsidR="00AD0D6D">
        <w:rPr>
          <w:rFonts w:ascii="Times New Roman" w:hAnsi="Times New Roman" w:cs="Times New Roman"/>
          <w:sz w:val="24"/>
          <w:szCs w:val="24"/>
        </w:rPr>
        <w:t xml:space="preserve">ommon </w:t>
      </w:r>
      <w:r w:rsidRPr="00112E4F">
        <w:rPr>
          <w:rFonts w:ascii="Times New Roman" w:hAnsi="Times New Roman" w:cs="Times New Roman"/>
          <w:sz w:val="24"/>
          <w:szCs w:val="24"/>
        </w:rPr>
        <w:t>M</w:t>
      </w:r>
      <w:r w:rsidR="00AD0D6D">
        <w:rPr>
          <w:rFonts w:ascii="Times New Roman" w:hAnsi="Times New Roman" w:cs="Times New Roman"/>
          <w:sz w:val="24"/>
          <w:szCs w:val="24"/>
        </w:rPr>
        <w:t xml:space="preserve">ilitary </w:t>
      </w:r>
      <w:r w:rsidRPr="00112E4F">
        <w:rPr>
          <w:rFonts w:ascii="Times New Roman" w:hAnsi="Times New Roman" w:cs="Times New Roman"/>
          <w:sz w:val="24"/>
          <w:szCs w:val="24"/>
        </w:rPr>
        <w:t>L</w:t>
      </w:r>
      <w:r w:rsidR="00AD0D6D">
        <w:rPr>
          <w:rFonts w:ascii="Times New Roman" w:hAnsi="Times New Roman" w:cs="Times New Roman"/>
          <w:sz w:val="24"/>
          <w:szCs w:val="24"/>
        </w:rPr>
        <w:t>ist</w:t>
      </w:r>
      <w:r w:rsidRPr="00112E4F">
        <w:rPr>
          <w:rFonts w:ascii="Times New Roman" w:hAnsi="Times New Roman" w:cs="Times New Roman"/>
          <w:sz w:val="24"/>
          <w:szCs w:val="24"/>
        </w:rPr>
        <w:t xml:space="preserve"> offers </w:t>
      </w:r>
      <w:r w:rsidR="003D4F3D" w:rsidRPr="00112E4F">
        <w:rPr>
          <w:rFonts w:ascii="Times New Roman" w:hAnsi="Times New Roman" w:cs="Times New Roman"/>
          <w:sz w:val="24"/>
          <w:szCs w:val="24"/>
        </w:rPr>
        <w:t>a good standard for</w:t>
      </w:r>
      <w:r w:rsidR="003D4F3D" w:rsidRPr="00EC1E93">
        <w:rPr>
          <w:rFonts w:ascii="Times New Roman" w:hAnsi="Times New Roman" w:cs="Times New Roman"/>
          <w:b/>
          <w:bCs/>
          <w:sz w:val="24"/>
          <w:szCs w:val="24"/>
        </w:rPr>
        <w:t xml:space="preserve"> </w:t>
      </w:r>
      <w:r w:rsidR="00EC1E93" w:rsidRPr="008E5A86">
        <w:rPr>
          <w:rFonts w:ascii="Times New Roman" w:hAnsi="Times New Roman" w:cs="Times New Roman"/>
          <w:sz w:val="24"/>
          <w:szCs w:val="24"/>
        </w:rPr>
        <w:t xml:space="preserve">the </w:t>
      </w:r>
      <w:r w:rsidR="003D4F3D" w:rsidRPr="008E5A86">
        <w:rPr>
          <w:rFonts w:ascii="Times New Roman" w:hAnsi="Times New Roman" w:cs="Times New Roman"/>
          <w:sz w:val="24"/>
          <w:szCs w:val="24"/>
        </w:rPr>
        <w:t>approximation</w:t>
      </w:r>
      <w:r w:rsidR="003D4F3D" w:rsidRPr="00112E4F">
        <w:rPr>
          <w:rFonts w:ascii="Times New Roman" w:hAnsi="Times New Roman" w:cs="Times New Roman"/>
          <w:sz w:val="24"/>
          <w:szCs w:val="24"/>
        </w:rPr>
        <w:t xml:space="preserve"> of national lists</w:t>
      </w:r>
      <w:r w:rsidR="00BB2457" w:rsidRPr="003703B1">
        <w:rPr>
          <w:rFonts w:ascii="Times New Roman" w:hAnsi="Times New Roman" w:cs="Times New Roman"/>
          <w:sz w:val="24"/>
          <w:szCs w:val="24"/>
        </w:rPr>
        <w:t>.</w:t>
      </w:r>
      <w:r w:rsidR="003D4F3D" w:rsidRPr="003703B1">
        <w:rPr>
          <w:rFonts w:ascii="Times New Roman" w:hAnsi="Times New Roman" w:cs="Times New Roman"/>
          <w:sz w:val="24"/>
          <w:szCs w:val="24"/>
        </w:rPr>
        <w:t xml:space="preserve"> </w:t>
      </w:r>
      <w:r w:rsidR="00BB2457" w:rsidRPr="008E5A86">
        <w:rPr>
          <w:rFonts w:ascii="Times New Roman" w:hAnsi="Times New Roman" w:cs="Times New Roman"/>
          <w:sz w:val="24"/>
          <w:szCs w:val="24"/>
        </w:rPr>
        <w:t>As it is also</w:t>
      </w:r>
      <w:r w:rsidR="003D4F3D" w:rsidRPr="008E5A86">
        <w:rPr>
          <w:rFonts w:ascii="Times New Roman" w:hAnsi="Times New Roman" w:cs="Times New Roman"/>
          <w:sz w:val="24"/>
          <w:szCs w:val="24"/>
        </w:rPr>
        <w:t xml:space="preserve"> based</w:t>
      </w:r>
      <w:r w:rsidR="003D4F3D" w:rsidRPr="00112E4F">
        <w:rPr>
          <w:rFonts w:ascii="Times New Roman" w:hAnsi="Times New Roman" w:cs="Times New Roman"/>
          <w:sz w:val="24"/>
          <w:szCs w:val="24"/>
        </w:rPr>
        <w:t xml:space="preserve"> on the Wassenaar Munitions </w:t>
      </w:r>
      <w:r w:rsidR="00DB69BC">
        <w:rPr>
          <w:rFonts w:ascii="Times New Roman" w:hAnsi="Times New Roman" w:cs="Times New Roman"/>
          <w:sz w:val="24"/>
          <w:szCs w:val="24"/>
        </w:rPr>
        <w:t>L</w:t>
      </w:r>
      <w:r w:rsidR="003D4F3D" w:rsidRPr="00112E4F">
        <w:rPr>
          <w:rFonts w:ascii="Times New Roman" w:hAnsi="Times New Roman" w:cs="Times New Roman"/>
          <w:sz w:val="24"/>
          <w:szCs w:val="24"/>
        </w:rPr>
        <w:t xml:space="preserve">ist </w:t>
      </w:r>
      <w:r w:rsidR="00BB2457" w:rsidRPr="008E5A86">
        <w:rPr>
          <w:rFonts w:ascii="Times New Roman" w:hAnsi="Times New Roman" w:cs="Times New Roman"/>
          <w:sz w:val="24"/>
          <w:szCs w:val="24"/>
        </w:rPr>
        <w:t>that is</w:t>
      </w:r>
      <w:r w:rsidR="00BB2457">
        <w:rPr>
          <w:rFonts w:ascii="Times New Roman" w:hAnsi="Times New Roman" w:cs="Times New Roman"/>
          <w:sz w:val="24"/>
          <w:szCs w:val="24"/>
        </w:rPr>
        <w:t xml:space="preserve"> </w:t>
      </w:r>
      <w:r w:rsidR="009D1B60">
        <w:rPr>
          <w:rFonts w:ascii="Times New Roman" w:hAnsi="Times New Roman" w:cs="Times New Roman"/>
          <w:sz w:val="24"/>
          <w:szCs w:val="24"/>
        </w:rPr>
        <w:t xml:space="preserve">being </w:t>
      </w:r>
      <w:r w:rsidR="003D4F3D" w:rsidRPr="00112E4F">
        <w:rPr>
          <w:rFonts w:ascii="Times New Roman" w:hAnsi="Times New Roman" w:cs="Times New Roman"/>
          <w:sz w:val="24"/>
          <w:szCs w:val="24"/>
        </w:rPr>
        <w:t xml:space="preserve">operated by 39 States Parties to the ATT, </w:t>
      </w:r>
      <w:r w:rsidR="00BB2457" w:rsidRPr="008E5A86">
        <w:rPr>
          <w:rFonts w:ascii="Times New Roman" w:hAnsi="Times New Roman" w:cs="Times New Roman"/>
          <w:sz w:val="24"/>
          <w:szCs w:val="24"/>
        </w:rPr>
        <w:t>it is</w:t>
      </w:r>
      <w:r w:rsidR="00DB69BC">
        <w:rPr>
          <w:rFonts w:ascii="Times New Roman" w:hAnsi="Times New Roman" w:cs="Times New Roman"/>
          <w:sz w:val="24"/>
          <w:szCs w:val="24"/>
        </w:rPr>
        <w:t xml:space="preserve"> </w:t>
      </w:r>
      <w:r w:rsidR="003D4F3D" w:rsidRPr="00112E4F">
        <w:rPr>
          <w:rFonts w:ascii="Times New Roman" w:hAnsi="Times New Roman" w:cs="Times New Roman"/>
          <w:sz w:val="24"/>
          <w:szCs w:val="24"/>
        </w:rPr>
        <w:t>a natural point of departure for any reflections o</w:t>
      </w:r>
      <w:r w:rsidR="009D1B60">
        <w:rPr>
          <w:rFonts w:ascii="Times New Roman" w:hAnsi="Times New Roman" w:cs="Times New Roman"/>
          <w:sz w:val="24"/>
          <w:szCs w:val="24"/>
        </w:rPr>
        <w:t>n</w:t>
      </w:r>
      <w:r w:rsidR="003D4F3D" w:rsidRPr="00112E4F">
        <w:rPr>
          <w:rFonts w:ascii="Times New Roman" w:hAnsi="Times New Roman" w:cs="Times New Roman"/>
          <w:sz w:val="24"/>
          <w:szCs w:val="24"/>
        </w:rPr>
        <w:t xml:space="preserve"> updating the Treaty, should States Parties decide so.</w:t>
      </w:r>
      <w:r w:rsidR="002814E0" w:rsidRPr="00112E4F">
        <w:rPr>
          <w:rFonts w:ascii="Times New Roman" w:hAnsi="Times New Roman" w:cs="Times New Roman"/>
          <w:sz w:val="24"/>
          <w:szCs w:val="24"/>
        </w:rPr>
        <w:t xml:space="preserve"> We also see high value </w:t>
      </w:r>
      <w:r w:rsidR="008E5A86">
        <w:rPr>
          <w:rFonts w:ascii="Times New Roman" w:hAnsi="Times New Roman" w:cs="Times New Roman"/>
          <w:sz w:val="24"/>
          <w:szCs w:val="24"/>
        </w:rPr>
        <w:t>i</w:t>
      </w:r>
      <w:r w:rsidR="00BB2457" w:rsidRPr="008E5A86">
        <w:rPr>
          <w:rFonts w:ascii="Times New Roman" w:hAnsi="Times New Roman" w:cs="Times New Roman"/>
          <w:sz w:val="24"/>
          <w:szCs w:val="24"/>
        </w:rPr>
        <w:t xml:space="preserve">n </w:t>
      </w:r>
      <w:r w:rsidR="002814E0" w:rsidRPr="00112E4F">
        <w:rPr>
          <w:rFonts w:ascii="Times New Roman" w:hAnsi="Times New Roman" w:cs="Times New Roman"/>
          <w:sz w:val="24"/>
          <w:szCs w:val="24"/>
        </w:rPr>
        <w:t>the EU C</w:t>
      </w:r>
      <w:r w:rsidR="009D1B60">
        <w:rPr>
          <w:rFonts w:ascii="Times New Roman" w:hAnsi="Times New Roman" w:cs="Times New Roman"/>
          <w:sz w:val="24"/>
          <w:szCs w:val="24"/>
        </w:rPr>
        <w:t xml:space="preserve">ommon </w:t>
      </w:r>
      <w:r w:rsidR="002814E0" w:rsidRPr="00112E4F">
        <w:rPr>
          <w:rFonts w:ascii="Times New Roman" w:hAnsi="Times New Roman" w:cs="Times New Roman"/>
          <w:sz w:val="24"/>
          <w:szCs w:val="24"/>
        </w:rPr>
        <w:t>M</w:t>
      </w:r>
      <w:r w:rsidR="009D1B60">
        <w:rPr>
          <w:rFonts w:ascii="Times New Roman" w:hAnsi="Times New Roman" w:cs="Times New Roman"/>
          <w:sz w:val="24"/>
          <w:szCs w:val="24"/>
        </w:rPr>
        <w:t xml:space="preserve">ilitary </w:t>
      </w:r>
      <w:r w:rsidR="002814E0" w:rsidRPr="00112E4F">
        <w:rPr>
          <w:rFonts w:ascii="Times New Roman" w:hAnsi="Times New Roman" w:cs="Times New Roman"/>
          <w:sz w:val="24"/>
          <w:szCs w:val="24"/>
        </w:rPr>
        <w:t>L</w:t>
      </w:r>
      <w:r w:rsidR="009D1B60">
        <w:rPr>
          <w:rFonts w:ascii="Times New Roman" w:hAnsi="Times New Roman" w:cs="Times New Roman"/>
          <w:sz w:val="24"/>
          <w:szCs w:val="24"/>
        </w:rPr>
        <w:t>ist</w:t>
      </w:r>
      <w:r w:rsidR="002814E0" w:rsidRPr="00112E4F">
        <w:rPr>
          <w:rFonts w:ascii="Times New Roman" w:hAnsi="Times New Roman" w:cs="Times New Roman"/>
          <w:sz w:val="24"/>
          <w:szCs w:val="24"/>
        </w:rPr>
        <w:t>, or the Wassenaar Munitions List, serving as a template in case further development of the Voluntary Basic Guide is authorized.</w:t>
      </w:r>
    </w:p>
    <w:p w14:paraId="54F324CE" w14:textId="53A16695" w:rsidR="00CF77FD" w:rsidRPr="00112E4F" w:rsidRDefault="00CF77FD" w:rsidP="00563DBC">
      <w:pPr>
        <w:pStyle w:val="Default"/>
        <w:numPr>
          <w:ilvl w:val="0"/>
          <w:numId w:val="1"/>
        </w:numPr>
        <w:spacing w:after="120"/>
        <w:jc w:val="both"/>
        <w:rPr>
          <w:rFonts w:ascii="Times New Roman" w:hAnsi="Times New Roman" w:cs="Times New Roman"/>
          <w:color w:val="auto"/>
        </w:rPr>
      </w:pPr>
      <w:r w:rsidRPr="00112E4F">
        <w:rPr>
          <w:rFonts w:ascii="Times New Roman" w:hAnsi="Times New Roman" w:cs="Times New Roman"/>
          <w:color w:val="auto"/>
        </w:rPr>
        <w:t xml:space="preserve">The EU’s offer of technical assistance to partner </w:t>
      </w:r>
      <w:r w:rsidR="009D1B60">
        <w:rPr>
          <w:rFonts w:ascii="Times New Roman" w:hAnsi="Times New Roman" w:cs="Times New Roman"/>
          <w:color w:val="auto"/>
        </w:rPr>
        <w:t>S</w:t>
      </w:r>
      <w:r w:rsidRPr="00112E4F">
        <w:rPr>
          <w:rFonts w:ascii="Times New Roman" w:hAnsi="Times New Roman" w:cs="Times New Roman"/>
          <w:color w:val="auto"/>
        </w:rPr>
        <w:t xml:space="preserve">tates under </w:t>
      </w:r>
      <w:r w:rsidR="009D1B60">
        <w:rPr>
          <w:rFonts w:ascii="Times New Roman" w:hAnsi="Times New Roman" w:cs="Times New Roman"/>
          <w:color w:val="auto"/>
        </w:rPr>
        <w:t xml:space="preserve">the </w:t>
      </w:r>
      <w:r w:rsidRPr="00112E4F">
        <w:rPr>
          <w:rFonts w:ascii="Times New Roman" w:hAnsi="Times New Roman" w:cs="Times New Roman"/>
          <w:color w:val="auto"/>
        </w:rPr>
        <w:t xml:space="preserve">EU ATT Outreach programme </w:t>
      </w:r>
      <w:r w:rsidR="00BB2457" w:rsidRPr="008E5A86">
        <w:rPr>
          <w:rFonts w:ascii="Times New Roman" w:hAnsi="Times New Roman" w:cs="Times New Roman"/>
          <w:color w:val="auto"/>
        </w:rPr>
        <w:t xml:space="preserve">also </w:t>
      </w:r>
      <w:r w:rsidRPr="008E5A86">
        <w:rPr>
          <w:rFonts w:ascii="Times New Roman" w:hAnsi="Times New Roman" w:cs="Times New Roman"/>
          <w:color w:val="auto"/>
        </w:rPr>
        <w:t>includes</w:t>
      </w:r>
      <w:r w:rsidR="008E5A86">
        <w:rPr>
          <w:rFonts w:ascii="Times New Roman" w:hAnsi="Times New Roman" w:cs="Times New Roman"/>
          <w:color w:val="auto"/>
        </w:rPr>
        <w:t xml:space="preserve"> </w:t>
      </w:r>
      <w:r w:rsidRPr="00112E4F">
        <w:rPr>
          <w:rFonts w:ascii="Times New Roman" w:hAnsi="Times New Roman" w:cs="Times New Roman"/>
          <w:color w:val="auto"/>
        </w:rPr>
        <w:t>assistance in establishing national control lists, if and as requested. The latest example, since CSP11, is the launch of the national process and national workshop for Togo held in February.</w:t>
      </w:r>
    </w:p>
    <w:p w14:paraId="50A57644" w14:textId="28FA4670" w:rsidR="002814E0" w:rsidRPr="00112E4F" w:rsidRDefault="004E094D" w:rsidP="00563DBC">
      <w:pPr>
        <w:pStyle w:val="Default"/>
        <w:numPr>
          <w:ilvl w:val="0"/>
          <w:numId w:val="1"/>
        </w:numPr>
        <w:spacing w:after="120"/>
        <w:jc w:val="both"/>
        <w:rPr>
          <w:rFonts w:ascii="Times New Roman" w:hAnsi="Times New Roman" w:cs="Times New Roman"/>
          <w:color w:val="auto"/>
        </w:rPr>
      </w:pPr>
      <w:r w:rsidRPr="00112E4F">
        <w:rPr>
          <w:rFonts w:ascii="Times New Roman" w:hAnsi="Times New Roman" w:cs="Times New Roman"/>
          <w:color w:val="auto"/>
        </w:rPr>
        <w:t xml:space="preserve">Let me also re-emphasize the </w:t>
      </w:r>
      <w:r w:rsidR="00CF77FD" w:rsidRPr="00112E4F">
        <w:rPr>
          <w:rFonts w:ascii="Times New Roman" w:hAnsi="Times New Roman" w:cs="Times New Roman"/>
          <w:color w:val="auto"/>
        </w:rPr>
        <w:t xml:space="preserve">value of common control lists for </w:t>
      </w:r>
      <w:r w:rsidR="00CF77FD" w:rsidRPr="008E5A86">
        <w:rPr>
          <w:rFonts w:ascii="Times New Roman" w:hAnsi="Times New Roman" w:cs="Times New Roman"/>
          <w:color w:val="auto"/>
        </w:rPr>
        <w:t>facilitati</w:t>
      </w:r>
      <w:r w:rsidR="00BB2457" w:rsidRPr="008E5A86">
        <w:rPr>
          <w:rFonts w:ascii="Times New Roman" w:hAnsi="Times New Roman" w:cs="Times New Roman"/>
          <w:color w:val="auto"/>
        </w:rPr>
        <w:t>ng</w:t>
      </w:r>
      <w:r w:rsidR="00CF77FD" w:rsidRPr="008E5A86">
        <w:rPr>
          <w:rFonts w:ascii="Times New Roman" w:hAnsi="Times New Roman" w:cs="Times New Roman"/>
          <w:color w:val="auto"/>
        </w:rPr>
        <w:t xml:space="preserve"> </w:t>
      </w:r>
      <w:r w:rsidR="00BB2457" w:rsidRPr="008E5A86">
        <w:rPr>
          <w:rFonts w:ascii="Times New Roman" w:hAnsi="Times New Roman" w:cs="Times New Roman"/>
          <w:color w:val="auto"/>
        </w:rPr>
        <w:t>the</w:t>
      </w:r>
      <w:r w:rsidR="00BB2457" w:rsidRPr="00BB2457">
        <w:rPr>
          <w:rFonts w:ascii="Times New Roman" w:hAnsi="Times New Roman" w:cs="Times New Roman"/>
          <w:b/>
          <w:bCs/>
          <w:color w:val="auto"/>
        </w:rPr>
        <w:t xml:space="preserve"> </w:t>
      </w:r>
      <w:r w:rsidR="00CF77FD" w:rsidRPr="00112E4F">
        <w:rPr>
          <w:rFonts w:ascii="Times New Roman" w:hAnsi="Times New Roman" w:cs="Times New Roman"/>
          <w:color w:val="auto"/>
        </w:rPr>
        <w:t xml:space="preserve">tracking of arms transfers, </w:t>
      </w:r>
      <w:r w:rsidR="00BB2457" w:rsidRPr="008E5A86">
        <w:rPr>
          <w:rFonts w:ascii="Times New Roman" w:hAnsi="Times New Roman" w:cs="Times New Roman"/>
          <w:color w:val="auto"/>
        </w:rPr>
        <w:t>and for</w:t>
      </w:r>
      <w:r w:rsidR="00BB2457">
        <w:rPr>
          <w:rFonts w:ascii="Times New Roman" w:hAnsi="Times New Roman" w:cs="Times New Roman"/>
          <w:color w:val="auto"/>
        </w:rPr>
        <w:t xml:space="preserve"> </w:t>
      </w:r>
      <w:r w:rsidR="00CF77FD" w:rsidRPr="00112E4F">
        <w:rPr>
          <w:rFonts w:ascii="Times New Roman" w:hAnsi="Times New Roman" w:cs="Times New Roman"/>
          <w:color w:val="auto"/>
        </w:rPr>
        <w:t xml:space="preserve">transparency and confidence. </w:t>
      </w:r>
      <w:r w:rsidRPr="00112E4F">
        <w:rPr>
          <w:rFonts w:ascii="Times New Roman" w:hAnsi="Times New Roman" w:cs="Times New Roman"/>
          <w:color w:val="auto"/>
        </w:rPr>
        <w:t xml:space="preserve">We </w:t>
      </w:r>
      <w:r w:rsidR="00CF77FD" w:rsidRPr="00112E4F">
        <w:rPr>
          <w:rFonts w:ascii="Times New Roman" w:hAnsi="Times New Roman" w:cs="Times New Roman"/>
          <w:color w:val="auto"/>
        </w:rPr>
        <w:t xml:space="preserve">would like to </w:t>
      </w:r>
      <w:r w:rsidRPr="00112E4F">
        <w:rPr>
          <w:rFonts w:ascii="Times New Roman" w:hAnsi="Times New Roman" w:cs="Times New Roman"/>
          <w:color w:val="auto"/>
        </w:rPr>
        <w:t xml:space="preserve">reiterate the value of </w:t>
      </w:r>
      <w:r w:rsidR="00CF77FD" w:rsidRPr="00112E4F">
        <w:rPr>
          <w:rFonts w:ascii="Times New Roman" w:hAnsi="Times New Roman" w:cs="Times New Roman"/>
          <w:color w:val="auto"/>
        </w:rPr>
        <w:t>exploring, within the ATT process, the possibilities of promoting the adoption of uniform or coherent control lists</w:t>
      </w:r>
      <w:r w:rsidRPr="00112E4F">
        <w:rPr>
          <w:rFonts w:ascii="Times New Roman" w:hAnsi="Times New Roman" w:cs="Times New Roman"/>
          <w:color w:val="auto"/>
        </w:rPr>
        <w:t xml:space="preserve"> regionally </w:t>
      </w:r>
      <w:r w:rsidR="00CF77FD" w:rsidRPr="00112E4F">
        <w:rPr>
          <w:rFonts w:ascii="Times New Roman" w:hAnsi="Times New Roman" w:cs="Times New Roman"/>
          <w:color w:val="auto"/>
        </w:rPr>
        <w:t>among States Parties who still do not have them</w:t>
      </w:r>
      <w:r w:rsidRPr="00112E4F">
        <w:rPr>
          <w:rFonts w:ascii="Times New Roman" w:hAnsi="Times New Roman" w:cs="Times New Roman"/>
          <w:color w:val="auto"/>
        </w:rPr>
        <w:t>.</w:t>
      </w:r>
    </w:p>
    <w:p w14:paraId="1212DCCD" w14:textId="22813052" w:rsidR="00BF21AE" w:rsidRPr="00112E4F" w:rsidRDefault="00BF21AE" w:rsidP="00563DBC">
      <w:pPr>
        <w:pStyle w:val="Default"/>
        <w:numPr>
          <w:ilvl w:val="0"/>
          <w:numId w:val="1"/>
        </w:numPr>
        <w:spacing w:after="120"/>
        <w:jc w:val="both"/>
        <w:rPr>
          <w:rFonts w:ascii="Times New Roman" w:hAnsi="Times New Roman" w:cs="Times New Roman"/>
          <w:color w:val="auto"/>
        </w:rPr>
      </w:pPr>
      <w:r w:rsidRPr="00112E4F">
        <w:rPr>
          <w:rFonts w:ascii="Times New Roman" w:hAnsi="Times New Roman" w:cs="Times New Roman"/>
          <w:color w:val="auto"/>
        </w:rPr>
        <w:t xml:space="preserve">In such context, the EU welcomes the </w:t>
      </w:r>
      <w:r w:rsidR="00A31B6C" w:rsidRPr="008E5A86">
        <w:rPr>
          <w:rFonts w:ascii="Times New Roman" w:hAnsi="Times New Roman" w:cs="Times New Roman"/>
          <w:color w:val="auto"/>
        </w:rPr>
        <w:t>suggestion</w:t>
      </w:r>
      <w:r w:rsidR="00A31B6C" w:rsidRPr="00A31B6C">
        <w:rPr>
          <w:rFonts w:ascii="Times New Roman" w:hAnsi="Times New Roman" w:cs="Times New Roman"/>
          <w:b/>
          <w:bCs/>
          <w:color w:val="auto"/>
        </w:rPr>
        <w:t xml:space="preserve"> </w:t>
      </w:r>
      <w:r w:rsidRPr="00112E4F">
        <w:rPr>
          <w:rFonts w:ascii="Times New Roman" w:hAnsi="Times New Roman" w:cs="Times New Roman"/>
          <w:color w:val="auto"/>
        </w:rPr>
        <w:t xml:space="preserve">of establishing an informal group of interested </w:t>
      </w:r>
      <w:r w:rsidR="009D1B60">
        <w:rPr>
          <w:rFonts w:ascii="Times New Roman" w:hAnsi="Times New Roman" w:cs="Times New Roman"/>
          <w:color w:val="auto"/>
        </w:rPr>
        <w:t>S</w:t>
      </w:r>
      <w:r w:rsidRPr="00112E4F">
        <w:rPr>
          <w:rFonts w:ascii="Times New Roman" w:hAnsi="Times New Roman" w:cs="Times New Roman"/>
          <w:color w:val="auto"/>
        </w:rPr>
        <w:t xml:space="preserve">tates and stakeholders to reflect on the issues of control lists and </w:t>
      </w:r>
      <w:proofErr w:type="gramStart"/>
      <w:r w:rsidRPr="00112E4F">
        <w:rPr>
          <w:rFonts w:ascii="Times New Roman" w:hAnsi="Times New Roman" w:cs="Times New Roman"/>
          <w:color w:val="auto"/>
        </w:rPr>
        <w:t>scope, and</w:t>
      </w:r>
      <w:proofErr w:type="gramEnd"/>
      <w:r w:rsidRPr="00112E4F">
        <w:rPr>
          <w:rFonts w:ascii="Times New Roman" w:hAnsi="Times New Roman" w:cs="Times New Roman"/>
          <w:color w:val="auto"/>
        </w:rPr>
        <w:t xml:space="preserve"> stands ready to contribute to that reflection as appropriate.</w:t>
      </w:r>
    </w:p>
    <w:p w14:paraId="25BB111E" w14:textId="4B87944F" w:rsidR="00CE1FEF" w:rsidRPr="00112E4F" w:rsidRDefault="002814E0" w:rsidP="00563DBC">
      <w:pPr>
        <w:pStyle w:val="Default"/>
        <w:numPr>
          <w:ilvl w:val="0"/>
          <w:numId w:val="1"/>
        </w:numPr>
        <w:spacing w:after="120"/>
        <w:jc w:val="both"/>
        <w:rPr>
          <w:rFonts w:ascii="Times New Roman" w:hAnsi="Times New Roman" w:cs="Times New Roman"/>
          <w:color w:val="auto"/>
        </w:rPr>
      </w:pPr>
      <w:r w:rsidRPr="00112E4F">
        <w:rPr>
          <w:rFonts w:ascii="Times New Roman" w:hAnsi="Times New Roman" w:cs="Times New Roman"/>
          <w:color w:val="auto"/>
        </w:rPr>
        <w:lastRenderedPageBreak/>
        <w:t xml:space="preserve">The EU also </w:t>
      </w:r>
      <w:r w:rsidR="00FC6212" w:rsidRPr="00112E4F">
        <w:rPr>
          <w:rFonts w:ascii="Times New Roman" w:hAnsi="Times New Roman" w:cs="Times New Roman"/>
          <w:color w:val="auto"/>
        </w:rPr>
        <w:t xml:space="preserve">supports closer engagement with </w:t>
      </w:r>
      <w:r w:rsidRPr="00112E4F">
        <w:rPr>
          <w:rFonts w:ascii="Times New Roman" w:hAnsi="Times New Roman" w:cs="Times New Roman"/>
          <w:color w:val="auto"/>
        </w:rPr>
        <w:t xml:space="preserve">the </w:t>
      </w:r>
      <w:r w:rsidR="00FC6212" w:rsidRPr="00112E4F">
        <w:rPr>
          <w:rFonts w:ascii="Times New Roman" w:hAnsi="Times New Roman" w:cs="Times New Roman"/>
          <w:color w:val="auto"/>
        </w:rPr>
        <w:t>W</w:t>
      </w:r>
      <w:r w:rsidRPr="00112E4F">
        <w:rPr>
          <w:rFonts w:ascii="Times New Roman" w:hAnsi="Times New Roman" w:cs="Times New Roman"/>
          <w:color w:val="auto"/>
        </w:rPr>
        <w:t xml:space="preserve">orld </w:t>
      </w:r>
      <w:r w:rsidR="00FC6212" w:rsidRPr="00112E4F">
        <w:rPr>
          <w:rFonts w:ascii="Times New Roman" w:hAnsi="Times New Roman" w:cs="Times New Roman"/>
          <w:color w:val="auto"/>
        </w:rPr>
        <w:t>C</w:t>
      </w:r>
      <w:r w:rsidRPr="00112E4F">
        <w:rPr>
          <w:rFonts w:ascii="Times New Roman" w:hAnsi="Times New Roman" w:cs="Times New Roman"/>
          <w:color w:val="auto"/>
        </w:rPr>
        <w:t xml:space="preserve">ustoms </w:t>
      </w:r>
      <w:r w:rsidR="00FC6212" w:rsidRPr="00112E4F">
        <w:rPr>
          <w:rFonts w:ascii="Times New Roman" w:hAnsi="Times New Roman" w:cs="Times New Roman"/>
          <w:color w:val="auto"/>
        </w:rPr>
        <w:t>O</w:t>
      </w:r>
      <w:r w:rsidRPr="00112E4F">
        <w:rPr>
          <w:rFonts w:ascii="Times New Roman" w:hAnsi="Times New Roman" w:cs="Times New Roman"/>
          <w:color w:val="auto"/>
        </w:rPr>
        <w:t>rganization in recognition of value of their perspective and practical experience in operation of control lists by customs authorities.</w:t>
      </w:r>
    </w:p>
    <w:p w14:paraId="3EA352D3" w14:textId="77777777" w:rsidR="005D6385" w:rsidRDefault="005D6385" w:rsidP="00563DBC">
      <w:pPr>
        <w:spacing w:after="120" w:line="240" w:lineRule="auto"/>
        <w:jc w:val="both"/>
        <w:rPr>
          <w:rFonts w:ascii="Times New Roman" w:hAnsi="Times New Roman" w:cs="Times New Roman"/>
          <w:sz w:val="24"/>
          <w:szCs w:val="24"/>
          <w:u w:val="single"/>
        </w:rPr>
      </w:pPr>
    </w:p>
    <w:p w14:paraId="19278CA4" w14:textId="5219B0E0" w:rsidR="00461B66"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3: the role of industry in responsible international arms transfers</w:t>
      </w:r>
    </w:p>
    <w:p w14:paraId="470A977E" w14:textId="16D0EC0A" w:rsidR="002D52C3" w:rsidRPr="00112E4F" w:rsidRDefault="002D52C3" w:rsidP="00563DBC">
      <w:pPr>
        <w:pStyle w:val="ListParagraph"/>
        <w:numPr>
          <w:ilvl w:val="0"/>
          <w:numId w:val="1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w:t>
      </w:r>
      <w:r w:rsidR="002F0CE1" w:rsidRPr="00112E4F">
        <w:rPr>
          <w:rFonts w:ascii="Times New Roman" w:hAnsi="Times New Roman" w:cs="Times New Roman"/>
          <w:sz w:val="24"/>
          <w:szCs w:val="24"/>
        </w:rPr>
        <w:t>wishes to reiterate its support to</w:t>
      </w:r>
      <w:r w:rsidRPr="00112E4F">
        <w:rPr>
          <w:rFonts w:ascii="Times New Roman" w:hAnsi="Times New Roman" w:cs="Times New Roman"/>
          <w:sz w:val="24"/>
          <w:szCs w:val="24"/>
        </w:rPr>
        <w:t xml:space="preserve"> the potential creation of voluntary guidance for industry</w:t>
      </w:r>
      <w:r w:rsidR="002F0CE1" w:rsidRPr="00112E4F">
        <w:rPr>
          <w:rFonts w:ascii="Times New Roman" w:hAnsi="Times New Roman" w:cs="Times New Roman"/>
          <w:sz w:val="24"/>
          <w:szCs w:val="24"/>
        </w:rPr>
        <w:t>. Its creation at the ATT level</w:t>
      </w:r>
      <w:r w:rsidR="00033520" w:rsidRPr="00112E4F">
        <w:rPr>
          <w:rFonts w:ascii="Times New Roman" w:hAnsi="Times New Roman" w:cs="Times New Roman"/>
          <w:sz w:val="24"/>
          <w:szCs w:val="24"/>
        </w:rPr>
        <w:t xml:space="preserve">, and its potential adoption by </w:t>
      </w:r>
      <w:r w:rsidR="00112E4F">
        <w:rPr>
          <w:rFonts w:ascii="Times New Roman" w:hAnsi="Times New Roman" w:cs="Times New Roman"/>
          <w:sz w:val="24"/>
          <w:szCs w:val="24"/>
        </w:rPr>
        <w:t>a future</w:t>
      </w:r>
      <w:r w:rsidR="00033520" w:rsidRPr="00112E4F">
        <w:rPr>
          <w:rFonts w:ascii="Times New Roman" w:hAnsi="Times New Roman" w:cs="Times New Roman"/>
          <w:sz w:val="24"/>
          <w:szCs w:val="24"/>
        </w:rPr>
        <w:t xml:space="preserve"> </w:t>
      </w:r>
      <w:proofErr w:type="spellStart"/>
      <w:r w:rsidR="00033520" w:rsidRPr="00112E4F">
        <w:rPr>
          <w:rFonts w:ascii="Times New Roman" w:hAnsi="Times New Roman" w:cs="Times New Roman"/>
          <w:sz w:val="24"/>
          <w:szCs w:val="24"/>
        </w:rPr>
        <w:t>CSP</w:t>
      </w:r>
      <w:proofErr w:type="spellEnd"/>
      <w:r w:rsidR="00033520" w:rsidRPr="00112E4F">
        <w:rPr>
          <w:rFonts w:ascii="Times New Roman" w:hAnsi="Times New Roman" w:cs="Times New Roman"/>
          <w:sz w:val="24"/>
          <w:szCs w:val="24"/>
        </w:rPr>
        <w:t>,</w:t>
      </w:r>
      <w:r w:rsidR="002F0CE1" w:rsidRPr="00112E4F">
        <w:rPr>
          <w:rFonts w:ascii="Times New Roman" w:hAnsi="Times New Roman" w:cs="Times New Roman"/>
          <w:sz w:val="24"/>
          <w:szCs w:val="24"/>
        </w:rPr>
        <w:t xml:space="preserve"> would address the already visible willingness of the industry to have </w:t>
      </w:r>
      <w:r w:rsidRPr="00112E4F">
        <w:rPr>
          <w:rFonts w:ascii="Times New Roman" w:hAnsi="Times New Roman" w:cs="Times New Roman"/>
          <w:sz w:val="24"/>
          <w:szCs w:val="24"/>
        </w:rPr>
        <w:t>governmental or government-validated indications about acceptable standards and methods</w:t>
      </w:r>
      <w:r w:rsidR="002F0CE1" w:rsidRPr="00112E4F">
        <w:rPr>
          <w:rFonts w:ascii="Times New Roman" w:hAnsi="Times New Roman" w:cs="Times New Roman"/>
          <w:sz w:val="24"/>
          <w:szCs w:val="24"/>
        </w:rPr>
        <w:t xml:space="preserve">. Development of </w:t>
      </w:r>
      <w:r w:rsidRPr="00112E4F">
        <w:rPr>
          <w:rFonts w:ascii="Times New Roman" w:hAnsi="Times New Roman" w:cs="Times New Roman"/>
          <w:sz w:val="24"/>
          <w:szCs w:val="24"/>
        </w:rPr>
        <w:t xml:space="preserve">national </w:t>
      </w:r>
      <w:r w:rsidR="00703AD4" w:rsidRPr="00112E4F">
        <w:rPr>
          <w:rFonts w:ascii="Times New Roman" w:hAnsi="Times New Roman" w:cs="Times New Roman"/>
          <w:sz w:val="24"/>
          <w:szCs w:val="24"/>
        </w:rPr>
        <w:t>guidance</w:t>
      </w:r>
      <w:r w:rsidR="002F0CE1" w:rsidRPr="00112E4F">
        <w:rPr>
          <w:rFonts w:ascii="Times New Roman" w:hAnsi="Times New Roman" w:cs="Times New Roman"/>
          <w:sz w:val="24"/>
          <w:szCs w:val="24"/>
        </w:rPr>
        <w:t xml:space="preserve"> in each instance</w:t>
      </w:r>
      <w:r w:rsidR="00703AD4" w:rsidRPr="00112E4F">
        <w:rPr>
          <w:rFonts w:ascii="Times New Roman" w:hAnsi="Times New Roman" w:cs="Times New Roman"/>
          <w:sz w:val="24"/>
          <w:szCs w:val="24"/>
        </w:rPr>
        <w:t xml:space="preserve"> may be a time-consuming and technically complicated exercise,</w:t>
      </w:r>
      <w:r w:rsidR="002F0CE1" w:rsidRPr="00112E4F">
        <w:rPr>
          <w:rFonts w:ascii="Times New Roman" w:hAnsi="Times New Roman" w:cs="Times New Roman"/>
          <w:sz w:val="24"/>
          <w:szCs w:val="24"/>
        </w:rPr>
        <w:t xml:space="preserve"> especially for </w:t>
      </w:r>
      <w:r w:rsidR="009D1B60">
        <w:rPr>
          <w:rFonts w:ascii="Times New Roman" w:hAnsi="Times New Roman" w:cs="Times New Roman"/>
          <w:sz w:val="24"/>
          <w:szCs w:val="24"/>
        </w:rPr>
        <w:t>S</w:t>
      </w:r>
      <w:r w:rsidR="002F0CE1" w:rsidRPr="00112E4F">
        <w:rPr>
          <w:rFonts w:ascii="Times New Roman" w:hAnsi="Times New Roman" w:cs="Times New Roman"/>
          <w:sz w:val="24"/>
          <w:szCs w:val="24"/>
        </w:rPr>
        <w:t xml:space="preserve">tates with smaller industries, and as such, the ATT guidance would be </w:t>
      </w:r>
      <w:r w:rsidR="00703AD4" w:rsidRPr="00112E4F">
        <w:rPr>
          <w:rFonts w:ascii="Times New Roman" w:hAnsi="Times New Roman" w:cs="Times New Roman"/>
          <w:sz w:val="24"/>
          <w:szCs w:val="24"/>
        </w:rPr>
        <w:t xml:space="preserve">welcome by the </w:t>
      </w:r>
      <w:r w:rsidR="002F0CE1" w:rsidRPr="00112E4F">
        <w:rPr>
          <w:rFonts w:ascii="Times New Roman" w:hAnsi="Times New Roman" w:cs="Times New Roman"/>
          <w:sz w:val="24"/>
          <w:szCs w:val="24"/>
        </w:rPr>
        <w:t>broad</w:t>
      </w:r>
      <w:r w:rsidR="00703AD4" w:rsidRPr="00112E4F">
        <w:rPr>
          <w:rFonts w:ascii="Times New Roman" w:hAnsi="Times New Roman" w:cs="Times New Roman"/>
          <w:sz w:val="24"/>
          <w:szCs w:val="24"/>
        </w:rPr>
        <w:t xml:space="preserve"> community of stakeholders. </w:t>
      </w:r>
    </w:p>
    <w:p w14:paraId="5DF22FCD" w14:textId="18C04644" w:rsidR="005C2B64" w:rsidRPr="00843B4A" w:rsidRDefault="00BB2457" w:rsidP="00563DBC">
      <w:pPr>
        <w:pStyle w:val="ListParagraph"/>
        <w:numPr>
          <w:ilvl w:val="0"/>
          <w:numId w:val="13"/>
        </w:numPr>
        <w:spacing w:after="120" w:line="240" w:lineRule="auto"/>
        <w:contextualSpacing w:val="0"/>
        <w:jc w:val="both"/>
        <w:rPr>
          <w:rFonts w:ascii="Times New Roman" w:hAnsi="Times New Roman" w:cs="Times New Roman"/>
          <w:strike/>
          <w:sz w:val="24"/>
          <w:szCs w:val="24"/>
        </w:rPr>
      </w:pPr>
      <w:r w:rsidRPr="008E5A86">
        <w:rPr>
          <w:rFonts w:ascii="Times New Roman" w:hAnsi="Times New Roman" w:cs="Times New Roman"/>
          <w:sz w:val="24"/>
          <w:szCs w:val="24"/>
        </w:rPr>
        <w:t>G</w:t>
      </w:r>
      <w:r w:rsidR="005C2B64" w:rsidRPr="00112E4F">
        <w:rPr>
          <w:rFonts w:ascii="Times New Roman" w:hAnsi="Times New Roman" w:cs="Times New Roman"/>
          <w:sz w:val="24"/>
          <w:szCs w:val="24"/>
        </w:rPr>
        <w:t>overnments can also benefit from the existence of such guidance, since it will, among other</w:t>
      </w:r>
      <w:r>
        <w:rPr>
          <w:rFonts w:ascii="Times New Roman" w:hAnsi="Times New Roman" w:cs="Times New Roman"/>
          <w:sz w:val="24"/>
          <w:szCs w:val="24"/>
        </w:rPr>
        <w:t xml:space="preserve"> </w:t>
      </w:r>
      <w:r w:rsidRPr="008E5A86">
        <w:rPr>
          <w:rFonts w:ascii="Times New Roman" w:hAnsi="Times New Roman" w:cs="Times New Roman"/>
          <w:sz w:val="24"/>
          <w:szCs w:val="24"/>
        </w:rPr>
        <w:t>things</w:t>
      </w:r>
      <w:r w:rsidR="005C2B64" w:rsidRPr="008E5A86">
        <w:rPr>
          <w:rFonts w:ascii="Times New Roman" w:hAnsi="Times New Roman" w:cs="Times New Roman"/>
          <w:sz w:val="24"/>
          <w:szCs w:val="24"/>
        </w:rPr>
        <w:t>,</w:t>
      </w:r>
      <w:r w:rsidR="005C2B64" w:rsidRPr="00112E4F">
        <w:rPr>
          <w:rFonts w:ascii="Times New Roman" w:hAnsi="Times New Roman" w:cs="Times New Roman"/>
          <w:sz w:val="24"/>
          <w:szCs w:val="24"/>
        </w:rPr>
        <w:t xml:space="preserve"> improve the quality of licensing requests</w:t>
      </w:r>
      <w:r w:rsidR="00174078">
        <w:rPr>
          <w:rFonts w:ascii="Times New Roman" w:hAnsi="Times New Roman" w:cs="Times New Roman"/>
          <w:sz w:val="24"/>
          <w:szCs w:val="24"/>
        </w:rPr>
        <w:t>.</w:t>
      </w:r>
    </w:p>
    <w:p w14:paraId="309FE1E4" w14:textId="0D91B329" w:rsidR="00033520" w:rsidRPr="00112E4F" w:rsidRDefault="009D1B60" w:rsidP="00563DBC">
      <w:pPr>
        <w:pStyle w:val="ListParagraph"/>
        <w:numPr>
          <w:ilvl w:val="0"/>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We would like to t</w:t>
      </w:r>
      <w:r w:rsidR="00033520" w:rsidRPr="00112E4F">
        <w:rPr>
          <w:rFonts w:ascii="Times New Roman" w:hAnsi="Times New Roman" w:cs="Times New Roman"/>
          <w:sz w:val="24"/>
          <w:szCs w:val="24"/>
        </w:rPr>
        <w:t xml:space="preserve">hank </w:t>
      </w:r>
      <w:r>
        <w:rPr>
          <w:rFonts w:ascii="Times New Roman" w:hAnsi="Times New Roman" w:cs="Times New Roman"/>
          <w:sz w:val="24"/>
          <w:szCs w:val="24"/>
        </w:rPr>
        <w:t xml:space="preserve">the Chair </w:t>
      </w:r>
      <w:r w:rsidR="00033520" w:rsidRPr="00112E4F">
        <w:rPr>
          <w:rFonts w:ascii="Times New Roman" w:hAnsi="Times New Roman" w:cs="Times New Roman"/>
          <w:sz w:val="24"/>
          <w:szCs w:val="24"/>
        </w:rPr>
        <w:t xml:space="preserve">for </w:t>
      </w:r>
      <w:r>
        <w:rPr>
          <w:rFonts w:ascii="Times New Roman" w:hAnsi="Times New Roman" w:cs="Times New Roman"/>
          <w:sz w:val="24"/>
          <w:szCs w:val="24"/>
        </w:rPr>
        <w:t xml:space="preserve">presenting </w:t>
      </w:r>
      <w:r w:rsidR="00033520" w:rsidRPr="00112E4F">
        <w:rPr>
          <w:rFonts w:ascii="Times New Roman" w:hAnsi="Times New Roman" w:cs="Times New Roman"/>
          <w:sz w:val="24"/>
          <w:szCs w:val="24"/>
        </w:rPr>
        <w:t xml:space="preserve">the </w:t>
      </w:r>
      <w:r w:rsidR="00EA64E6" w:rsidRPr="00112E4F">
        <w:rPr>
          <w:rFonts w:ascii="Times New Roman" w:hAnsi="Times New Roman" w:cs="Times New Roman"/>
          <w:sz w:val="24"/>
          <w:szCs w:val="24"/>
        </w:rPr>
        <w:t xml:space="preserve">Possible draft Elements in Appendix 1. While not commenting about </w:t>
      </w:r>
      <w:r w:rsidR="00EA64E6" w:rsidRPr="008E5A86">
        <w:rPr>
          <w:rFonts w:ascii="Times New Roman" w:hAnsi="Times New Roman" w:cs="Times New Roman"/>
          <w:sz w:val="24"/>
          <w:szCs w:val="24"/>
        </w:rPr>
        <w:t xml:space="preserve">the </w:t>
      </w:r>
      <w:r w:rsidR="00BB2457" w:rsidRPr="008E5A86">
        <w:rPr>
          <w:rFonts w:ascii="Times New Roman" w:hAnsi="Times New Roman" w:cs="Times New Roman"/>
          <w:sz w:val="24"/>
          <w:szCs w:val="24"/>
        </w:rPr>
        <w:t xml:space="preserve">existing </w:t>
      </w:r>
      <w:r w:rsidR="00EA64E6" w:rsidRPr="008E5A86">
        <w:rPr>
          <w:rFonts w:ascii="Times New Roman" w:hAnsi="Times New Roman" w:cs="Times New Roman"/>
          <w:sz w:val="24"/>
          <w:szCs w:val="24"/>
        </w:rPr>
        <w:t>elements</w:t>
      </w:r>
      <w:r w:rsidR="00EA64E6" w:rsidRPr="00112E4F">
        <w:rPr>
          <w:rFonts w:ascii="Times New Roman" w:hAnsi="Times New Roman" w:cs="Times New Roman"/>
          <w:sz w:val="24"/>
          <w:szCs w:val="24"/>
        </w:rPr>
        <w:t xml:space="preserve"> which are valid, the EU would like to share thoughts about possible structur</w:t>
      </w:r>
      <w:r w:rsidR="00BB2457" w:rsidRPr="008E5A86">
        <w:rPr>
          <w:rFonts w:ascii="Times New Roman" w:hAnsi="Times New Roman" w:cs="Times New Roman"/>
          <w:sz w:val="24"/>
          <w:szCs w:val="24"/>
        </w:rPr>
        <w:t>ing</w:t>
      </w:r>
      <w:r w:rsidR="00EA64E6" w:rsidRPr="008E5A86">
        <w:rPr>
          <w:rFonts w:ascii="Times New Roman" w:hAnsi="Times New Roman" w:cs="Times New Roman"/>
          <w:sz w:val="24"/>
          <w:szCs w:val="24"/>
        </w:rPr>
        <w:t xml:space="preserve"> </w:t>
      </w:r>
      <w:r w:rsidR="00EA64E6" w:rsidRPr="00112E4F">
        <w:rPr>
          <w:rFonts w:ascii="Times New Roman" w:hAnsi="Times New Roman" w:cs="Times New Roman"/>
          <w:sz w:val="24"/>
          <w:szCs w:val="24"/>
        </w:rPr>
        <w:t xml:space="preserve">and grouping of the elements. It would be useful to structure the guidance about capabilities to be achieved and processes to be followed. </w:t>
      </w:r>
    </w:p>
    <w:p w14:paraId="6D66C6EC" w14:textId="2992E91D" w:rsidR="005C2B64" w:rsidRPr="00112E4F" w:rsidRDefault="00EA64E6" w:rsidP="00563DBC">
      <w:pPr>
        <w:pStyle w:val="ListParagraph"/>
        <w:numPr>
          <w:ilvl w:val="1"/>
          <w:numId w:val="1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As regards capabilities, the guidance should emphasize the </w:t>
      </w:r>
      <w:r w:rsidR="00C73D95" w:rsidRPr="00112E4F">
        <w:rPr>
          <w:rFonts w:ascii="Times New Roman" w:hAnsi="Times New Roman" w:cs="Times New Roman"/>
          <w:sz w:val="24"/>
          <w:szCs w:val="24"/>
        </w:rPr>
        <w:t>downstream traceability, a critical tool to combat illicit diversion to unauthorized</w:t>
      </w:r>
      <w:r w:rsidR="002F0CE1" w:rsidRPr="00112E4F">
        <w:rPr>
          <w:rFonts w:ascii="Times New Roman" w:hAnsi="Times New Roman" w:cs="Times New Roman"/>
          <w:sz w:val="24"/>
          <w:szCs w:val="24"/>
        </w:rPr>
        <w:t xml:space="preserve"> </w:t>
      </w:r>
      <w:r w:rsidR="00C73D95" w:rsidRPr="00112E4F">
        <w:rPr>
          <w:rFonts w:ascii="Times New Roman" w:hAnsi="Times New Roman" w:cs="Times New Roman"/>
          <w:sz w:val="24"/>
          <w:szCs w:val="24"/>
        </w:rPr>
        <w:t>users, as it enables verification of the destination and end use of products. This</w:t>
      </w:r>
      <w:r w:rsidR="002F0CE1" w:rsidRPr="00112E4F">
        <w:rPr>
          <w:rFonts w:ascii="Times New Roman" w:hAnsi="Times New Roman" w:cs="Times New Roman"/>
          <w:sz w:val="24"/>
          <w:szCs w:val="24"/>
        </w:rPr>
        <w:t xml:space="preserve"> </w:t>
      </w:r>
      <w:r w:rsidR="00C73D95" w:rsidRPr="00112E4F">
        <w:rPr>
          <w:rFonts w:ascii="Times New Roman" w:hAnsi="Times New Roman" w:cs="Times New Roman"/>
          <w:sz w:val="24"/>
          <w:szCs w:val="24"/>
        </w:rPr>
        <w:t>can be achieved through weapons marking</w:t>
      </w:r>
      <w:r w:rsidR="002F0CE1" w:rsidRPr="00112E4F">
        <w:rPr>
          <w:rFonts w:ascii="Times New Roman" w:hAnsi="Times New Roman" w:cs="Times New Roman"/>
          <w:sz w:val="24"/>
          <w:szCs w:val="24"/>
        </w:rPr>
        <w:t>,</w:t>
      </w:r>
      <w:r w:rsidR="00C73D95" w:rsidRPr="00112E4F">
        <w:rPr>
          <w:rFonts w:ascii="Times New Roman" w:hAnsi="Times New Roman" w:cs="Times New Roman"/>
          <w:sz w:val="24"/>
          <w:szCs w:val="24"/>
        </w:rPr>
        <w:t xml:space="preserve"> end-user certificates</w:t>
      </w:r>
      <w:r w:rsidR="002F0CE1" w:rsidRPr="00112E4F">
        <w:rPr>
          <w:rFonts w:ascii="Times New Roman" w:hAnsi="Times New Roman" w:cs="Times New Roman"/>
          <w:sz w:val="24"/>
          <w:szCs w:val="24"/>
        </w:rPr>
        <w:t>, and as a side aspect of the cooperation between manufacturers and/or maintenance providers and end users throughout the life cycle</w:t>
      </w:r>
      <w:r w:rsidR="005C2B64" w:rsidRPr="00112E4F">
        <w:rPr>
          <w:rFonts w:ascii="Times New Roman" w:hAnsi="Times New Roman" w:cs="Times New Roman"/>
          <w:sz w:val="24"/>
          <w:szCs w:val="24"/>
        </w:rPr>
        <w:t xml:space="preserve">. </w:t>
      </w:r>
    </w:p>
    <w:p w14:paraId="76CB5ED0" w14:textId="77777777" w:rsidR="00112E4F" w:rsidRDefault="00EA64E6" w:rsidP="00563DBC">
      <w:pPr>
        <w:pStyle w:val="ListParagraph"/>
        <w:numPr>
          <w:ilvl w:val="1"/>
          <w:numId w:val="1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As regards processes, </w:t>
      </w:r>
      <w:r w:rsidR="00112E4F" w:rsidRPr="00112E4F">
        <w:rPr>
          <w:rFonts w:ascii="Times New Roman" w:hAnsi="Times New Roman" w:cs="Times New Roman"/>
          <w:sz w:val="24"/>
          <w:szCs w:val="24"/>
        </w:rPr>
        <w:t>the guidance should, in the spirit of dialogue and awareness-raising, provide a set of best practices, such as at what point to seek views of end users and governments potentially involved, and whom to approach.</w:t>
      </w:r>
    </w:p>
    <w:p w14:paraId="4141202F" w14:textId="02FD846B" w:rsidR="00C73D95" w:rsidRPr="00112E4F" w:rsidRDefault="00112E4F" w:rsidP="00563DBC">
      <w:pPr>
        <w:pStyle w:val="ListParagraph"/>
        <w:numPr>
          <w:ilvl w:val="1"/>
          <w:numId w:val="13"/>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Furthermore, r</w:t>
      </w:r>
      <w:r w:rsidR="005C2B64" w:rsidRPr="00112E4F">
        <w:rPr>
          <w:rFonts w:ascii="Times New Roman" w:hAnsi="Times New Roman" w:cs="Times New Roman"/>
          <w:sz w:val="24"/>
          <w:szCs w:val="24"/>
        </w:rPr>
        <w:t>isk assessment methodology for the purpose of Articles 6 and 7</w:t>
      </w:r>
      <w:r w:rsidR="00033520" w:rsidRPr="00112E4F">
        <w:rPr>
          <w:rFonts w:ascii="Times New Roman" w:hAnsi="Times New Roman" w:cs="Times New Roman"/>
          <w:sz w:val="24"/>
          <w:szCs w:val="24"/>
        </w:rPr>
        <w:t xml:space="preserve"> </w:t>
      </w:r>
      <w:r w:rsidR="005C2B64" w:rsidRPr="00112E4F">
        <w:rPr>
          <w:rFonts w:ascii="Times New Roman" w:hAnsi="Times New Roman" w:cs="Times New Roman"/>
          <w:sz w:val="24"/>
          <w:szCs w:val="24"/>
        </w:rPr>
        <w:t>could be patterned as a set of guiding principles, minimum standards, sources for reference</w:t>
      </w:r>
      <w:r w:rsidR="00033520" w:rsidRPr="00112E4F">
        <w:rPr>
          <w:rFonts w:ascii="Times New Roman" w:hAnsi="Times New Roman" w:cs="Times New Roman"/>
          <w:sz w:val="24"/>
          <w:szCs w:val="24"/>
        </w:rPr>
        <w:t xml:space="preserve">. In some </w:t>
      </w:r>
      <w:proofErr w:type="gramStart"/>
      <w:r w:rsidR="00033520" w:rsidRPr="00112E4F">
        <w:rPr>
          <w:rFonts w:ascii="Times New Roman" w:hAnsi="Times New Roman" w:cs="Times New Roman"/>
          <w:sz w:val="24"/>
          <w:szCs w:val="24"/>
        </w:rPr>
        <w:t>aspects</w:t>
      </w:r>
      <w:proofErr w:type="gramEnd"/>
      <w:r w:rsidR="00033520" w:rsidRPr="00112E4F">
        <w:rPr>
          <w:rFonts w:ascii="Times New Roman" w:hAnsi="Times New Roman" w:cs="Times New Roman"/>
          <w:sz w:val="24"/>
          <w:szCs w:val="24"/>
        </w:rPr>
        <w:t xml:space="preserve">, the publicly available User’s Guide for EU licensing officers could provide useful food for thought. </w:t>
      </w:r>
      <w:r w:rsidRPr="00112E4F">
        <w:rPr>
          <w:rFonts w:ascii="Times New Roman" w:hAnsi="Times New Roman" w:cs="Times New Roman"/>
          <w:sz w:val="24"/>
          <w:szCs w:val="24"/>
        </w:rPr>
        <w:t>The scope of responsibilities of industry from question 7 is both ideal and ambitious and should find its place among leading principles.</w:t>
      </w:r>
    </w:p>
    <w:p w14:paraId="082D9ED6" w14:textId="6BE43D88" w:rsidR="0094336C" w:rsidRPr="00112E4F" w:rsidRDefault="005C2B64" w:rsidP="00563DBC">
      <w:pPr>
        <w:pStyle w:val="ListParagraph"/>
        <w:numPr>
          <w:ilvl w:val="0"/>
          <w:numId w:val="14"/>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wishes to use this opportunity to </w:t>
      </w:r>
      <w:r w:rsidR="00895DF7">
        <w:rPr>
          <w:rFonts w:ascii="Times New Roman" w:hAnsi="Times New Roman" w:cs="Times New Roman"/>
          <w:sz w:val="24"/>
          <w:szCs w:val="24"/>
        </w:rPr>
        <w:t>present</w:t>
      </w:r>
      <w:r w:rsidR="00895DF7" w:rsidRPr="008E5A86">
        <w:rPr>
          <w:rFonts w:ascii="Times New Roman" w:hAnsi="Times New Roman" w:cs="Times New Roman"/>
          <w:sz w:val="24"/>
          <w:szCs w:val="24"/>
        </w:rPr>
        <w:t xml:space="preserve"> </w:t>
      </w:r>
      <w:r w:rsidR="00A31B6C" w:rsidRPr="008E5A86">
        <w:rPr>
          <w:rFonts w:ascii="Times New Roman" w:hAnsi="Times New Roman" w:cs="Times New Roman"/>
          <w:sz w:val="24"/>
          <w:szCs w:val="24"/>
        </w:rPr>
        <w:t>a</w:t>
      </w:r>
      <w:r w:rsidR="00895DF7" w:rsidRPr="008E5A86">
        <w:rPr>
          <w:rFonts w:ascii="Times New Roman" w:hAnsi="Times New Roman" w:cs="Times New Roman"/>
          <w:sz w:val="24"/>
          <w:szCs w:val="24"/>
        </w:rPr>
        <w:t>n</w:t>
      </w:r>
      <w:r w:rsidR="00895DF7">
        <w:rPr>
          <w:rFonts w:ascii="Times New Roman" w:hAnsi="Times New Roman" w:cs="Times New Roman"/>
          <w:sz w:val="24"/>
          <w:szCs w:val="24"/>
        </w:rPr>
        <w:t xml:space="preserve"> </w:t>
      </w:r>
      <w:r w:rsidRPr="00112E4F">
        <w:rPr>
          <w:rFonts w:ascii="Times New Roman" w:hAnsi="Times New Roman" w:cs="Times New Roman"/>
          <w:sz w:val="24"/>
          <w:szCs w:val="24"/>
        </w:rPr>
        <w:t xml:space="preserve">update regarding ongoing outreach: in September, </w:t>
      </w:r>
      <w:r w:rsidR="001604DA" w:rsidRPr="00112E4F">
        <w:rPr>
          <w:rFonts w:ascii="Times New Roman" w:hAnsi="Times New Roman" w:cs="Times New Roman"/>
          <w:sz w:val="24"/>
          <w:szCs w:val="24"/>
        </w:rPr>
        <w:t>the German Federal Office for Economic Affairs</w:t>
      </w:r>
      <w:r w:rsidR="00033520" w:rsidRPr="00112E4F">
        <w:rPr>
          <w:rFonts w:ascii="Times New Roman" w:hAnsi="Times New Roman" w:cs="Times New Roman"/>
          <w:sz w:val="24"/>
          <w:szCs w:val="24"/>
        </w:rPr>
        <w:t xml:space="preserve"> </w:t>
      </w:r>
      <w:r w:rsidR="001604DA" w:rsidRPr="00112E4F">
        <w:rPr>
          <w:rFonts w:ascii="Times New Roman" w:hAnsi="Times New Roman" w:cs="Times New Roman"/>
          <w:sz w:val="24"/>
          <w:szCs w:val="24"/>
        </w:rPr>
        <w:t>and Export Control (</w:t>
      </w:r>
      <w:proofErr w:type="spellStart"/>
      <w:r w:rsidR="001604DA" w:rsidRPr="00112E4F">
        <w:rPr>
          <w:rFonts w:ascii="Times New Roman" w:hAnsi="Times New Roman" w:cs="Times New Roman"/>
          <w:sz w:val="24"/>
          <w:szCs w:val="24"/>
        </w:rPr>
        <w:t>BAFA</w:t>
      </w:r>
      <w:proofErr w:type="spellEnd"/>
      <w:r w:rsidR="001604DA" w:rsidRPr="00112E4F">
        <w:rPr>
          <w:rFonts w:ascii="Times New Roman" w:hAnsi="Times New Roman" w:cs="Times New Roman"/>
          <w:sz w:val="24"/>
          <w:szCs w:val="24"/>
        </w:rPr>
        <w:t xml:space="preserve">) conducted a </w:t>
      </w:r>
      <w:r w:rsidR="00033520" w:rsidRPr="00112E4F">
        <w:rPr>
          <w:rFonts w:ascii="Times New Roman" w:hAnsi="Times New Roman" w:cs="Times New Roman"/>
          <w:sz w:val="24"/>
          <w:szCs w:val="24"/>
        </w:rPr>
        <w:t>N</w:t>
      </w:r>
      <w:r w:rsidR="001604DA" w:rsidRPr="00112E4F">
        <w:rPr>
          <w:rFonts w:ascii="Times New Roman" w:hAnsi="Times New Roman" w:cs="Times New Roman"/>
          <w:sz w:val="24"/>
          <w:szCs w:val="24"/>
        </w:rPr>
        <w:t xml:space="preserve">ational </w:t>
      </w:r>
      <w:r w:rsidR="00033520" w:rsidRPr="00112E4F">
        <w:rPr>
          <w:rFonts w:ascii="Times New Roman" w:hAnsi="Times New Roman" w:cs="Times New Roman"/>
          <w:sz w:val="24"/>
          <w:szCs w:val="24"/>
        </w:rPr>
        <w:t>O</w:t>
      </w:r>
      <w:r w:rsidR="001604DA" w:rsidRPr="00112E4F">
        <w:rPr>
          <w:rFonts w:ascii="Times New Roman" w:hAnsi="Times New Roman" w:cs="Times New Roman"/>
          <w:sz w:val="24"/>
          <w:szCs w:val="24"/>
        </w:rPr>
        <w:t>utreach to Industry</w:t>
      </w:r>
      <w:r w:rsidR="00033520" w:rsidRPr="00112E4F">
        <w:rPr>
          <w:rFonts w:ascii="Times New Roman" w:hAnsi="Times New Roman" w:cs="Times New Roman"/>
          <w:sz w:val="24"/>
          <w:szCs w:val="24"/>
        </w:rPr>
        <w:t xml:space="preserve"> </w:t>
      </w:r>
      <w:r w:rsidR="001604DA" w:rsidRPr="00112E4F">
        <w:rPr>
          <w:rFonts w:ascii="Times New Roman" w:hAnsi="Times New Roman" w:cs="Times New Roman"/>
          <w:sz w:val="24"/>
          <w:szCs w:val="24"/>
        </w:rPr>
        <w:t xml:space="preserve">Workshop in Chile that brought together key </w:t>
      </w:r>
      <w:r w:rsidR="00033520" w:rsidRPr="00112E4F">
        <w:rPr>
          <w:rFonts w:ascii="Times New Roman" w:hAnsi="Times New Roman" w:cs="Times New Roman"/>
          <w:sz w:val="24"/>
          <w:szCs w:val="24"/>
        </w:rPr>
        <w:t>national</w:t>
      </w:r>
      <w:r w:rsidR="001604DA" w:rsidRPr="00112E4F">
        <w:rPr>
          <w:rFonts w:ascii="Times New Roman" w:hAnsi="Times New Roman" w:cs="Times New Roman"/>
          <w:sz w:val="24"/>
          <w:szCs w:val="24"/>
        </w:rPr>
        <w:t xml:space="preserve"> industry</w:t>
      </w:r>
      <w:r w:rsidR="00033520" w:rsidRPr="00112E4F">
        <w:rPr>
          <w:rFonts w:ascii="Times New Roman" w:hAnsi="Times New Roman" w:cs="Times New Roman"/>
          <w:sz w:val="24"/>
          <w:szCs w:val="24"/>
        </w:rPr>
        <w:t xml:space="preserve"> </w:t>
      </w:r>
      <w:r w:rsidR="001604DA" w:rsidRPr="00112E4F">
        <w:rPr>
          <w:rFonts w:ascii="Times New Roman" w:hAnsi="Times New Roman" w:cs="Times New Roman"/>
          <w:sz w:val="24"/>
          <w:szCs w:val="24"/>
        </w:rPr>
        <w:t>stakeholders.</w:t>
      </w:r>
    </w:p>
    <w:p w14:paraId="617E799E" w14:textId="77777777" w:rsidR="0082201F" w:rsidRDefault="0082201F" w:rsidP="00563DBC">
      <w:pPr>
        <w:spacing w:after="120" w:line="240" w:lineRule="auto"/>
        <w:jc w:val="both"/>
        <w:rPr>
          <w:rFonts w:ascii="Times New Roman" w:hAnsi="Times New Roman" w:cs="Times New Roman"/>
          <w:sz w:val="24"/>
          <w:szCs w:val="24"/>
          <w:u w:val="single"/>
        </w:rPr>
      </w:pPr>
    </w:p>
    <w:p w14:paraId="6CB9AEFF" w14:textId="78A4B346" w:rsidR="00461B66"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 xml:space="preserve">Agenda item 4: The risk of conventional arms being used for GBV or </w:t>
      </w:r>
      <w:proofErr w:type="spellStart"/>
      <w:r w:rsidRPr="00112E4F">
        <w:rPr>
          <w:rFonts w:ascii="Times New Roman" w:hAnsi="Times New Roman" w:cs="Times New Roman"/>
          <w:sz w:val="24"/>
          <w:szCs w:val="24"/>
          <w:u w:val="single"/>
        </w:rPr>
        <w:t>VAWC</w:t>
      </w:r>
      <w:proofErr w:type="spellEnd"/>
    </w:p>
    <w:p w14:paraId="66532458" w14:textId="1559A780" w:rsidR="00461B66" w:rsidRPr="00112E4F" w:rsidRDefault="00895DF7"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5D08F5" w:rsidRPr="00112E4F">
        <w:rPr>
          <w:rFonts w:ascii="Times New Roman" w:hAnsi="Times New Roman" w:cs="Times New Roman"/>
          <w:sz w:val="24"/>
          <w:szCs w:val="24"/>
        </w:rPr>
        <w:t xml:space="preserve">he EU </w:t>
      </w:r>
      <w:r w:rsidR="00C5675F" w:rsidRPr="00112E4F">
        <w:rPr>
          <w:rFonts w:ascii="Times New Roman" w:hAnsi="Times New Roman" w:cs="Times New Roman"/>
          <w:sz w:val="24"/>
          <w:szCs w:val="24"/>
        </w:rPr>
        <w:t>wishes</w:t>
      </w:r>
      <w:r w:rsidR="005D08F5" w:rsidRPr="00112E4F">
        <w:rPr>
          <w:rFonts w:ascii="Times New Roman" w:hAnsi="Times New Roman" w:cs="Times New Roman"/>
          <w:sz w:val="24"/>
          <w:szCs w:val="24"/>
        </w:rPr>
        <w:t xml:space="preserve"> to express support</w:t>
      </w:r>
      <w:r w:rsidR="005D08F5" w:rsidRPr="00AB4E92">
        <w:rPr>
          <w:rFonts w:ascii="Times New Roman" w:hAnsi="Times New Roman" w:cs="Times New Roman"/>
          <w:sz w:val="24"/>
          <w:szCs w:val="24"/>
        </w:rPr>
        <w:t xml:space="preserve"> </w:t>
      </w:r>
      <w:r w:rsidR="00AB4E92" w:rsidRPr="008E5A86">
        <w:rPr>
          <w:rFonts w:ascii="Times New Roman" w:hAnsi="Times New Roman" w:cs="Times New Roman"/>
          <w:sz w:val="24"/>
          <w:szCs w:val="24"/>
        </w:rPr>
        <w:t>for</w:t>
      </w:r>
      <w:r w:rsidR="00AB4E92">
        <w:rPr>
          <w:rFonts w:ascii="Times New Roman" w:hAnsi="Times New Roman" w:cs="Times New Roman"/>
          <w:sz w:val="24"/>
          <w:szCs w:val="24"/>
        </w:rPr>
        <w:t xml:space="preserve"> </w:t>
      </w:r>
      <w:r w:rsidR="005D08F5" w:rsidRPr="00112E4F">
        <w:rPr>
          <w:rFonts w:ascii="Times New Roman" w:hAnsi="Times New Roman" w:cs="Times New Roman"/>
          <w:sz w:val="24"/>
          <w:szCs w:val="24"/>
        </w:rPr>
        <w:t>the present (amended) version of the guidance on Art. 7(4) and its integration into the Voluntary Guide on Art. 6 &amp; 7.</w:t>
      </w:r>
      <w:r w:rsidR="0095779E" w:rsidRPr="00112E4F">
        <w:rPr>
          <w:rFonts w:ascii="Times New Roman" w:hAnsi="Times New Roman" w:cs="Times New Roman"/>
          <w:sz w:val="24"/>
          <w:szCs w:val="24"/>
        </w:rPr>
        <w:t xml:space="preserve"> </w:t>
      </w:r>
    </w:p>
    <w:p w14:paraId="40813697" w14:textId="4203DE54" w:rsidR="007753DA" w:rsidRPr="00F91D87" w:rsidRDefault="00C5675F"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Let me use this opportunity to inform about EU outreach efforts to address the GBV in the context of</w:t>
      </w:r>
      <w:r w:rsidR="00AB4E92" w:rsidRPr="008E5A86">
        <w:rPr>
          <w:rFonts w:ascii="Times New Roman" w:hAnsi="Times New Roman" w:cs="Times New Roman"/>
          <w:sz w:val="24"/>
          <w:szCs w:val="24"/>
        </w:rPr>
        <w:t xml:space="preserve"> the</w:t>
      </w:r>
      <w:r w:rsidRPr="00AB4E92">
        <w:rPr>
          <w:rFonts w:ascii="Times New Roman" w:hAnsi="Times New Roman" w:cs="Times New Roman"/>
          <w:b/>
          <w:bCs/>
          <w:sz w:val="24"/>
          <w:szCs w:val="24"/>
        </w:rPr>
        <w:t xml:space="preserve"> </w:t>
      </w:r>
      <w:r w:rsidRPr="00112E4F">
        <w:rPr>
          <w:rFonts w:ascii="Times New Roman" w:hAnsi="Times New Roman" w:cs="Times New Roman"/>
          <w:sz w:val="24"/>
          <w:szCs w:val="24"/>
        </w:rPr>
        <w:t xml:space="preserve">ATT: </w:t>
      </w:r>
      <w:r w:rsidR="00F748EC" w:rsidRPr="00895DF7">
        <w:rPr>
          <w:rFonts w:ascii="Times New Roman" w:hAnsi="Times New Roman" w:cs="Times New Roman"/>
          <w:sz w:val="24"/>
          <w:szCs w:val="24"/>
        </w:rPr>
        <w:t xml:space="preserve">in November, </w:t>
      </w:r>
      <w:r w:rsidR="001604DA" w:rsidRPr="00895DF7">
        <w:rPr>
          <w:rFonts w:ascii="Times New Roman" w:hAnsi="Times New Roman" w:cs="Times New Roman"/>
          <w:sz w:val="24"/>
          <w:szCs w:val="24"/>
        </w:rPr>
        <w:t>Expertise France</w:t>
      </w:r>
      <w:r w:rsidR="00F748EC" w:rsidRPr="00895DF7">
        <w:rPr>
          <w:rFonts w:ascii="Times New Roman" w:hAnsi="Times New Roman" w:cs="Times New Roman"/>
          <w:sz w:val="24"/>
          <w:szCs w:val="24"/>
        </w:rPr>
        <w:t xml:space="preserve"> under the EU ATT Outreach Project, 4</w:t>
      </w:r>
      <w:r w:rsidR="00F748EC" w:rsidRPr="00895DF7">
        <w:rPr>
          <w:rFonts w:ascii="Times New Roman" w:hAnsi="Times New Roman" w:cs="Times New Roman"/>
          <w:sz w:val="24"/>
          <w:szCs w:val="24"/>
          <w:vertAlign w:val="superscript"/>
        </w:rPr>
        <w:t>th</w:t>
      </w:r>
      <w:r w:rsidR="00F748EC" w:rsidRPr="00895DF7">
        <w:rPr>
          <w:rFonts w:ascii="Times New Roman" w:hAnsi="Times New Roman" w:cs="Times New Roman"/>
          <w:sz w:val="24"/>
          <w:szCs w:val="24"/>
        </w:rPr>
        <w:t xml:space="preserve"> Phase</w:t>
      </w:r>
      <w:r w:rsidR="001604DA" w:rsidRPr="00895DF7">
        <w:rPr>
          <w:rFonts w:ascii="Times New Roman" w:hAnsi="Times New Roman" w:cs="Times New Roman"/>
          <w:sz w:val="24"/>
          <w:szCs w:val="24"/>
        </w:rPr>
        <w:t>, in collaboration with the Small Arms</w:t>
      </w:r>
      <w:r w:rsidR="00F748EC" w:rsidRPr="00895DF7">
        <w:rPr>
          <w:rFonts w:ascii="Times New Roman" w:hAnsi="Times New Roman" w:cs="Times New Roman"/>
          <w:sz w:val="24"/>
          <w:szCs w:val="24"/>
        </w:rPr>
        <w:t xml:space="preserve"> </w:t>
      </w:r>
      <w:r w:rsidR="001604DA" w:rsidRPr="00895DF7">
        <w:rPr>
          <w:rFonts w:ascii="Times New Roman" w:hAnsi="Times New Roman" w:cs="Times New Roman"/>
          <w:sz w:val="24"/>
          <w:szCs w:val="24"/>
        </w:rPr>
        <w:t xml:space="preserve">Survey, organised a Train-the-Trainers workshop </w:t>
      </w:r>
      <w:r w:rsidR="00F748EC" w:rsidRPr="00895DF7">
        <w:rPr>
          <w:rFonts w:ascii="Times New Roman" w:hAnsi="Times New Roman" w:cs="Times New Roman"/>
          <w:sz w:val="24"/>
          <w:szCs w:val="24"/>
        </w:rPr>
        <w:t xml:space="preserve">in Paris </w:t>
      </w:r>
      <w:r w:rsidR="001604DA" w:rsidRPr="00895DF7">
        <w:rPr>
          <w:rFonts w:ascii="Times New Roman" w:hAnsi="Times New Roman" w:cs="Times New Roman"/>
          <w:sz w:val="24"/>
          <w:szCs w:val="24"/>
        </w:rPr>
        <w:t>on the implementation of the</w:t>
      </w:r>
      <w:r w:rsidR="00F748EC" w:rsidRPr="00895DF7">
        <w:rPr>
          <w:rFonts w:ascii="Times New Roman" w:hAnsi="Times New Roman" w:cs="Times New Roman"/>
          <w:sz w:val="24"/>
          <w:szCs w:val="24"/>
        </w:rPr>
        <w:t xml:space="preserve"> </w:t>
      </w:r>
      <w:r w:rsidR="001604DA" w:rsidRPr="00895DF7">
        <w:rPr>
          <w:rFonts w:ascii="Times New Roman" w:hAnsi="Times New Roman" w:cs="Times New Roman"/>
          <w:sz w:val="24"/>
          <w:szCs w:val="24"/>
        </w:rPr>
        <w:t xml:space="preserve">ATT’s provisions related </w:t>
      </w:r>
      <w:r w:rsidR="00F748EC" w:rsidRPr="00895DF7">
        <w:rPr>
          <w:rFonts w:ascii="Times New Roman" w:hAnsi="Times New Roman" w:cs="Times New Roman"/>
          <w:sz w:val="24"/>
          <w:szCs w:val="24"/>
        </w:rPr>
        <w:t xml:space="preserve">to </w:t>
      </w:r>
      <w:r w:rsidR="001604DA" w:rsidRPr="00895DF7">
        <w:rPr>
          <w:rFonts w:ascii="Times New Roman" w:hAnsi="Times New Roman" w:cs="Times New Roman"/>
          <w:sz w:val="24"/>
          <w:szCs w:val="24"/>
        </w:rPr>
        <w:t>GBV</w:t>
      </w:r>
      <w:r w:rsidR="00F748EC" w:rsidRPr="00895DF7">
        <w:rPr>
          <w:rFonts w:ascii="Times New Roman" w:hAnsi="Times New Roman" w:cs="Times New Roman"/>
          <w:sz w:val="24"/>
          <w:szCs w:val="24"/>
        </w:rPr>
        <w:t xml:space="preserve">, for </w:t>
      </w:r>
      <w:r w:rsidR="001604DA" w:rsidRPr="00895DF7">
        <w:rPr>
          <w:rFonts w:ascii="Times New Roman" w:hAnsi="Times New Roman" w:cs="Times New Roman"/>
          <w:sz w:val="24"/>
          <w:szCs w:val="24"/>
        </w:rPr>
        <w:t>practitioners from Sierra Leone, Liberia and Mexico</w:t>
      </w:r>
      <w:r w:rsidR="00F748EC" w:rsidRPr="00895DF7">
        <w:rPr>
          <w:rFonts w:ascii="Times New Roman" w:hAnsi="Times New Roman" w:cs="Times New Roman"/>
          <w:sz w:val="24"/>
          <w:szCs w:val="24"/>
        </w:rPr>
        <w:t xml:space="preserve">, focusing on </w:t>
      </w:r>
      <w:r w:rsidR="001604DA" w:rsidRPr="00895DF7">
        <w:rPr>
          <w:rFonts w:ascii="Times New Roman" w:hAnsi="Times New Roman" w:cs="Times New Roman"/>
          <w:sz w:val="24"/>
          <w:szCs w:val="24"/>
        </w:rPr>
        <w:t xml:space="preserve">how to translate the </w:t>
      </w:r>
      <w:r w:rsidR="001604DA" w:rsidRPr="00895DF7">
        <w:rPr>
          <w:rFonts w:ascii="Times New Roman" w:hAnsi="Times New Roman" w:cs="Times New Roman"/>
          <w:sz w:val="24"/>
          <w:szCs w:val="24"/>
        </w:rPr>
        <w:lastRenderedPageBreak/>
        <w:t xml:space="preserve">ATT’s </w:t>
      </w:r>
      <w:r w:rsidR="00F748EC" w:rsidRPr="00895DF7">
        <w:rPr>
          <w:rFonts w:ascii="Times New Roman" w:hAnsi="Times New Roman" w:cs="Times New Roman"/>
          <w:sz w:val="24"/>
          <w:szCs w:val="24"/>
        </w:rPr>
        <w:t>obligations</w:t>
      </w:r>
      <w:r w:rsidR="001604DA" w:rsidRPr="00895DF7">
        <w:rPr>
          <w:rFonts w:ascii="Times New Roman" w:hAnsi="Times New Roman" w:cs="Times New Roman"/>
          <w:sz w:val="24"/>
          <w:szCs w:val="24"/>
        </w:rPr>
        <w:t xml:space="preserve"> into concrete risk assessment</w:t>
      </w:r>
      <w:r w:rsidR="00F748EC" w:rsidRPr="00895DF7">
        <w:rPr>
          <w:rFonts w:ascii="Times New Roman" w:hAnsi="Times New Roman" w:cs="Times New Roman"/>
          <w:sz w:val="24"/>
          <w:szCs w:val="24"/>
        </w:rPr>
        <w:t xml:space="preserve"> </w:t>
      </w:r>
      <w:r w:rsidR="001604DA" w:rsidRPr="00895DF7">
        <w:rPr>
          <w:rFonts w:ascii="Times New Roman" w:hAnsi="Times New Roman" w:cs="Times New Roman"/>
          <w:sz w:val="24"/>
          <w:szCs w:val="24"/>
        </w:rPr>
        <w:t>processes and national transfer control practices.</w:t>
      </w:r>
    </w:p>
    <w:p w14:paraId="21D993E5" w14:textId="77777777" w:rsidR="000D5C2F" w:rsidRDefault="000D5C2F" w:rsidP="00563DBC">
      <w:pPr>
        <w:spacing w:after="120" w:line="240" w:lineRule="auto"/>
        <w:jc w:val="both"/>
        <w:rPr>
          <w:rFonts w:ascii="Times New Roman" w:hAnsi="Times New Roman" w:cs="Times New Roman"/>
          <w:sz w:val="24"/>
          <w:szCs w:val="24"/>
          <w:u w:val="single"/>
        </w:rPr>
      </w:pPr>
    </w:p>
    <w:p w14:paraId="0A2D8F79" w14:textId="21489552" w:rsidR="00461B66"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5: Developing or strengthening inter-agency cooperation</w:t>
      </w:r>
    </w:p>
    <w:p w14:paraId="6F319571" w14:textId="5F8AB484" w:rsidR="0082201F" w:rsidRPr="005D6385" w:rsidRDefault="00895DF7" w:rsidP="00563DBC">
      <w:pPr>
        <w:pStyle w:val="ListParagraph"/>
        <w:numPr>
          <w:ilvl w:val="0"/>
          <w:numId w:val="5"/>
        </w:numPr>
        <w:spacing w:after="120" w:line="240" w:lineRule="auto"/>
        <w:contextualSpacing w:val="0"/>
        <w:jc w:val="both"/>
        <w:rPr>
          <w:rFonts w:ascii="Times New Roman" w:hAnsi="Times New Roman" w:cs="Times New Roman"/>
          <w:sz w:val="24"/>
          <w:szCs w:val="24"/>
          <w:u w:val="single"/>
        </w:rPr>
      </w:pPr>
      <w:r w:rsidRPr="005D6385">
        <w:rPr>
          <w:rFonts w:ascii="Times New Roman" w:hAnsi="Times New Roman" w:cs="Times New Roman"/>
          <w:sz w:val="24"/>
          <w:szCs w:val="24"/>
        </w:rPr>
        <w:t>The EU</w:t>
      </w:r>
      <w:r w:rsidR="00641648" w:rsidRPr="005D6385">
        <w:rPr>
          <w:rFonts w:ascii="Times New Roman" w:hAnsi="Times New Roman" w:cs="Times New Roman"/>
          <w:sz w:val="24"/>
          <w:szCs w:val="24"/>
        </w:rPr>
        <w:t xml:space="preserve"> express</w:t>
      </w:r>
      <w:r w:rsidRPr="005D6385">
        <w:rPr>
          <w:rFonts w:ascii="Times New Roman" w:hAnsi="Times New Roman" w:cs="Times New Roman"/>
          <w:sz w:val="24"/>
          <w:szCs w:val="24"/>
        </w:rPr>
        <w:t>es</w:t>
      </w:r>
      <w:r w:rsidR="00641648" w:rsidRPr="005D6385">
        <w:rPr>
          <w:rFonts w:ascii="Times New Roman" w:hAnsi="Times New Roman" w:cs="Times New Roman"/>
          <w:sz w:val="24"/>
          <w:szCs w:val="24"/>
        </w:rPr>
        <w:t xml:space="preserve"> support to the Chair’s proposal to integrate the existing “set of possible steps and questions” into the Voluntary Basic Guide to Establishing a National Control System.</w:t>
      </w:r>
      <w:r w:rsidRPr="005D6385">
        <w:rPr>
          <w:rFonts w:ascii="Times New Roman" w:hAnsi="Times New Roman" w:cs="Times New Roman"/>
          <w:sz w:val="24"/>
          <w:szCs w:val="24"/>
        </w:rPr>
        <w:t xml:space="preserve"> </w:t>
      </w:r>
    </w:p>
    <w:p w14:paraId="640E7092" w14:textId="77777777" w:rsidR="005D6385" w:rsidRPr="005D6385" w:rsidRDefault="005D6385" w:rsidP="005D6385">
      <w:pPr>
        <w:pStyle w:val="ListParagraph"/>
        <w:spacing w:after="120" w:line="240" w:lineRule="auto"/>
        <w:ind w:left="360"/>
        <w:contextualSpacing w:val="0"/>
        <w:jc w:val="both"/>
        <w:rPr>
          <w:rFonts w:ascii="Times New Roman" w:hAnsi="Times New Roman" w:cs="Times New Roman"/>
          <w:sz w:val="24"/>
          <w:szCs w:val="24"/>
          <w:u w:val="single"/>
        </w:rPr>
      </w:pPr>
    </w:p>
    <w:p w14:paraId="6E37CF98" w14:textId="32F80055" w:rsidR="00B325AC" w:rsidRPr="00112E4F" w:rsidRDefault="00461B66" w:rsidP="00563DBC">
      <w:pPr>
        <w:spacing w:after="120" w:line="240" w:lineRule="auto"/>
        <w:jc w:val="both"/>
        <w:rPr>
          <w:rFonts w:ascii="Times New Roman" w:hAnsi="Times New Roman" w:cs="Times New Roman"/>
          <w:sz w:val="24"/>
          <w:szCs w:val="24"/>
          <w:u w:val="single"/>
        </w:rPr>
      </w:pPr>
      <w:r w:rsidRPr="00112E4F">
        <w:rPr>
          <w:rFonts w:ascii="Times New Roman" w:hAnsi="Times New Roman" w:cs="Times New Roman"/>
          <w:sz w:val="24"/>
          <w:szCs w:val="24"/>
          <w:u w:val="single"/>
        </w:rPr>
        <w:t>Agenda item 6: Ad hoc discussions on current and emerging implementation issues</w:t>
      </w:r>
    </w:p>
    <w:p w14:paraId="34E6EEFC" w14:textId="47635B42" w:rsidR="002F275D" w:rsidRPr="00112E4F" w:rsidRDefault="00895DF7" w:rsidP="00563DBC">
      <w:pPr>
        <w:pStyle w:val="ListParagraph"/>
        <w:numPr>
          <w:ilvl w:val="0"/>
          <w:numId w:val="6"/>
        </w:numPr>
        <w:spacing w:after="120" w:line="240" w:lineRule="auto"/>
        <w:contextualSpacing w:val="0"/>
        <w:jc w:val="both"/>
        <w:rPr>
          <w:rFonts w:ascii="Times New Roman" w:hAnsi="Times New Roman" w:cs="Times New Roman"/>
          <w:sz w:val="24"/>
          <w:szCs w:val="24"/>
          <w:u w:val="single"/>
        </w:rPr>
      </w:pPr>
      <w:r>
        <w:rPr>
          <w:rFonts w:ascii="Times New Roman" w:hAnsi="Times New Roman" w:cs="Times New Roman"/>
          <w:sz w:val="24"/>
          <w:szCs w:val="24"/>
          <w:u w:val="single"/>
        </w:rPr>
        <w:t>R</w:t>
      </w:r>
      <w:r w:rsidR="002F275D" w:rsidRPr="00112E4F">
        <w:rPr>
          <w:rFonts w:ascii="Times New Roman" w:hAnsi="Times New Roman" w:cs="Times New Roman"/>
          <w:sz w:val="24"/>
          <w:szCs w:val="24"/>
          <w:u w:val="single"/>
        </w:rPr>
        <w:t xml:space="preserve">isk assessment of arms exports to </w:t>
      </w:r>
      <w:r w:rsidR="005A1549" w:rsidRPr="00112E4F">
        <w:rPr>
          <w:rFonts w:ascii="Times New Roman" w:hAnsi="Times New Roman" w:cs="Times New Roman"/>
          <w:sz w:val="24"/>
          <w:szCs w:val="24"/>
          <w:u w:val="single"/>
        </w:rPr>
        <w:t>Sudan:</w:t>
      </w:r>
    </w:p>
    <w:p w14:paraId="2FD39A74" w14:textId="77777777" w:rsidR="00715307" w:rsidRPr="00112E4F" w:rsidRDefault="005A1549"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strongly condemns the ongoing conflict in Sudan, which, for a</w:t>
      </w:r>
      <w:r w:rsidR="00CC1221" w:rsidRPr="00112E4F">
        <w:rPr>
          <w:rFonts w:ascii="Times New Roman" w:hAnsi="Times New Roman" w:cs="Times New Roman"/>
          <w:sz w:val="24"/>
          <w:szCs w:val="24"/>
        </w:rPr>
        <w:t xml:space="preserve"> fourth</w:t>
      </w:r>
      <w:r w:rsidRPr="00112E4F">
        <w:rPr>
          <w:rFonts w:ascii="Times New Roman" w:hAnsi="Times New Roman" w:cs="Times New Roman"/>
          <w:sz w:val="24"/>
          <w:szCs w:val="24"/>
        </w:rPr>
        <w:t xml:space="preserve"> consecutive year, continues to cause the loss of thousands of lives and immense hardship</w:t>
      </w:r>
      <w:r w:rsidR="00CC1221" w:rsidRPr="00112E4F">
        <w:rPr>
          <w:rFonts w:ascii="Times New Roman" w:hAnsi="Times New Roman" w:cs="Times New Roman"/>
          <w:sz w:val="24"/>
          <w:szCs w:val="24"/>
        </w:rPr>
        <w:t xml:space="preserve"> </w:t>
      </w:r>
      <w:r w:rsidRPr="00112E4F">
        <w:rPr>
          <w:rFonts w:ascii="Times New Roman" w:hAnsi="Times New Roman" w:cs="Times New Roman"/>
          <w:sz w:val="24"/>
          <w:szCs w:val="24"/>
        </w:rPr>
        <w:t>for the Sudanese people, and poses a serious threat to stability and security across the wider</w:t>
      </w:r>
      <w:r w:rsidR="00CC1221" w:rsidRPr="00112E4F">
        <w:rPr>
          <w:rFonts w:ascii="Times New Roman" w:hAnsi="Times New Roman" w:cs="Times New Roman"/>
          <w:sz w:val="24"/>
          <w:szCs w:val="24"/>
        </w:rPr>
        <w:t xml:space="preserve"> </w:t>
      </w:r>
      <w:r w:rsidRPr="00112E4F">
        <w:rPr>
          <w:rFonts w:ascii="Times New Roman" w:hAnsi="Times New Roman" w:cs="Times New Roman"/>
          <w:sz w:val="24"/>
          <w:szCs w:val="24"/>
        </w:rPr>
        <w:t>region.</w:t>
      </w:r>
      <w:r w:rsidR="00715307" w:rsidRPr="00112E4F">
        <w:rPr>
          <w:rFonts w:ascii="Times New Roman" w:hAnsi="Times New Roman" w:cs="Times New Roman"/>
          <w:sz w:val="24"/>
          <w:szCs w:val="24"/>
        </w:rPr>
        <w:t xml:space="preserve"> </w:t>
      </w:r>
    </w:p>
    <w:p w14:paraId="76D09761" w14:textId="770F8275" w:rsidR="007535D9" w:rsidRPr="00112E4F" w:rsidRDefault="00CC1221"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is extremely concerned about the unity, territorial integrity and stability of Sudan,</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which are at serious risk, with increasing fragmentation along political and ethnic lines.</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The EU is gravely concerned by the widespread and well-documented violations of</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international humanitarian law</w:t>
      </w:r>
      <w:r w:rsidR="001C6940">
        <w:rPr>
          <w:rFonts w:ascii="Times New Roman" w:hAnsi="Times New Roman" w:cs="Times New Roman"/>
          <w:sz w:val="24"/>
          <w:szCs w:val="24"/>
        </w:rPr>
        <w:t xml:space="preserve"> (IHL)</w:t>
      </w:r>
      <w:r w:rsidRPr="00112E4F">
        <w:rPr>
          <w:rFonts w:ascii="Times New Roman" w:hAnsi="Times New Roman" w:cs="Times New Roman"/>
          <w:sz w:val="24"/>
          <w:szCs w:val="24"/>
        </w:rPr>
        <w:t xml:space="preserve"> and human rights law across Sudan. The EU unequivocally</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condemns all such atrocities, many of which have been employed systematically and at an</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alarming scale and have had a devastating impact on the civilian population, particularly on</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 xml:space="preserve">women and children as well as persons in vulnerable situations. </w:t>
      </w:r>
      <w:r w:rsidR="00715307" w:rsidRPr="00112E4F">
        <w:rPr>
          <w:rFonts w:ascii="Times New Roman" w:hAnsi="Times New Roman" w:cs="Times New Roman"/>
          <w:sz w:val="24"/>
          <w:szCs w:val="24"/>
        </w:rPr>
        <w:t xml:space="preserve"> </w:t>
      </w:r>
    </w:p>
    <w:p w14:paraId="50F59992" w14:textId="6370F1BF" w:rsidR="00CC1221" w:rsidRPr="00112E4F" w:rsidRDefault="00CC1221"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underscores the critical importance of ensuring </w:t>
      </w:r>
      <w:proofErr w:type="gramStart"/>
      <w:r w:rsidRPr="00112E4F">
        <w:rPr>
          <w:rFonts w:ascii="Times New Roman" w:hAnsi="Times New Roman" w:cs="Times New Roman"/>
          <w:sz w:val="24"/>
          <w:szCs w:val="24"/>
        </w:rPr>
        <w:t>accountability</w:t>
      </w:r>
      <w:proofErr w:type="gramEnd"/>
      <w:r w:rsidRPr="00112E4F">
        <w:rPr>
          <w:rFonts w:ascii="Times New Roman" w:hAnsi="Times New Roman" w:cs="Times New Roman"/>
          <w:sz w:val="24"/>
          <w:szCs w:val="24"/>
        </w:rPr>
        <w:t xml:space="preserve"> for all violations of</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international law, including violations of international humanitarian law and human rights</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 xml:space="preserve">law. Persisting impunity breeds new atrocities. The </w:t>
      </w:r>
      <w:r w:rsidR="00AB4E92" w:rsidRPr="008E5A86">
        <w:rPr>
          <w:rFonts w:ascii="Times New Roman" w:hAnsi="Times New Roman" w:cs="Times New Roman"/>
          <w:sz w:val="24"/>
          <w:szCs w:val="24"/>
        </w:rPr>
        <w:t xml:space="preserve">report of the </w:t>
      </w:r>
      <w:r w:rsidRPr="008E5A86">
        <w:rPr>
          <w:rFonts w:ascii="Times New Roman" w:hAnsi="Times New Roman" w:cs="Times New Roman"/>
          <w:sz w:val="24"/>
          <w:szCs w:val="24"/>
        </w:rPr>
        <w:t>Independent</w:t>
      </w:r>
      <w:r w:rsidRPr="00112E4F">
        <w:rPr>
          <w:rFonts w:ascii="Times New Roman" w:hAnsi="Times New Roman" w:cs="Times New Roman"/>
          <w:sz w:val="24"/>
          <w:szCs w:val="24"/>
        </w:rPr>
        <w:t xml:space="preserve"> International Fact-Finding</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Mission</w:t>
      </w:r>
      <w:r w:rsidR="001C6940">
        <w:rPr>
          <w:rFonts w:ascii="Times New Roman" w:hAnsi="Times New Roman" w:cs="Times New Roman"/>
          <w:sz w:val="24"/>
          <w:szCs w:val="24"/>
        </w:rPr>
        <w:t xml:space="preserve"> </w:t>
      </w:r>
      <w:r w:rsidRPr="00112E4F">
        <w:rPr>
          <w:rFonts w:ascii="Times New Roman" w:hAnsi="Times New Roman" w:cs="Times New Roman"/>
          <w:sz w:val="24"/>
          <w:szCs w:val="24"/>
        </w:rPr>
        <w:t>for Sudan</w:t>
      </w:r>
      <w:r w:rsidRPr="00AB4E92">
        <w:rPr>
          <w:rFonts w:ascii="Times New Roman" w:hAnsi="Times New Roman" w:cs="Times New Roman"/>
          <w:sz w:val="24"/>
          <w:szCs w:val="24"/>
        </w:rPr>
        <w:t xml:space="preserve"> </w:t>
      </w:r>
      <w:r w:rsidRPr="00112E4F">
        <w:rPr>
          <w:rFonts w:ascii="Times New Roman" w:hAnsi="Times New Roman" w:cs="Times New Roman"/>
          <w:sz w:val="24"/>
          <w:szCs w:val="24"/>
        </w:rPr>
        <w:t>found that both parties to the conflict violated</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 xml:space="preserve">international law, amounting to international crimes, with the </w:t>
      </w:r>
      <w:r w:rsidR="001C6940" w:rsidRPr="00112E4F">
        <w:rPr>
          <w:rFonts w:ascii="Times New Roman" w:hAnsi="Times New Roman" w:cs="Times New Roman"/>
          <w:sz w:val="24"/>
          <w:szCs w:val="24"/>
        </w:rPr>
        <w:t>Rapid Support Forces</w:t>
      </w:r>
      <w:r w:rsidRPr="00112E4F">
        <w:rPr>
          <w:rFonts w:ascii="Times New Roman" w:hAnsi="Times New Roman" w:cs="Times New Roman"/>
          <w:sz w:val="24"/>
          <w:szCs w:val="24"/>
        </w:rPr>
        <w:t xml:space="preserve"> having committed war</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 xml:space="preserve">crimes and crimes against humanity and the </w:t>
      </w:r>
      <w:r w:rsidR="001C6940" w:rsidRPr="00112E4F">
        <w:rPr>
          <w:rFonts w:ascii="Times New Roman" w:hAnsi="Times New Roman" w:cs="Times New Roman"/>
          <w:sz w:val="24"/>
          <w:szCs w:val="24"/>
        </w:rPr>
        <w:t xml:space="preserve">Sudanese Armed Forces </w:t>
      </w:r>
      <w:r w:rsidRPr="00112E4F">
        <w:rPr>
          <w:rFonts w:ascii="Times New Roman" w:hAnsi="Times New Roman" w:cs="Times New Roman"/>
          <w:sz w:val="24"/>
          <w:szCs w:val="24"/>
        </w:rPr>
        <w:t>having committed violations of international humanitarian law and human rights law, which also amount to war crimes. The</w:t>
      </w:r>
      <w:r w:rsidR="00715307" w:rsidRPr="00112E4F">
        <w:rPr>
          <w:rFonts w:ascii="Times New Roman" w:hAnsi="Times New Roman" w:cs="Times New Roman"/>
          <w:sz w:val="24"/>
          <w:szCs w:val="24"/>
        </w:rPr>
        <w:t xml:space="preserve"> </w:t>
      </w:r>
      <w:r w:rsidRPr="00112E4F">
        <w:rPr>
          <w:rFonts w:ascii="Times New Roman" w:hAnsi="Times New Roman" w:cs="Times New Roman"/>
          <w:sz w:val="24"/>
          <w:szCs w:val="24"/>
        </w:rPr>
        <w:t>EU remains committed to supporting efforts to document and investigate such violations.</w:t>
      </w:r>
    </w:p>
    <w:p w14:paraId="6E7870C0" w14:textId="50275E2D" w:rsidR="00715307" w:rsidRPr="00112E4F" w:rsidRDefault="00CC1221"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 xml:space="preserve">The EU underscores that the primary responsibility for ending the conflict lies with the leadership of both the Sudanese Armed Forces and the Rapid Support Forces, as well as those providing them with support. </w:t>
      </w:r>
    </w:p>
    <w:p w14:paraId="1D8A6E89" w14:textId="05767829" w:rsidR="00715307" w:rsidRPr="00112E4F" w:rsidRDefault="00715307" w:rsidP="00563DBC">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urges all parties to uphold their obligations under IHL and human rights law by using every possible measure to protect civilians and civilian objects.</w:t>
      </w:r>
    </w:p>
    <w:p w14:paraId="60D8BBA2" w14:textId="77777777" w:rsidR="00283DCE" w:rsidRPr="00307AEE" w:rsidRDefault="00CC1221" w:rsidP="00283DCE">
      <w:pPr>
        <w:pStyle w:val="ListParagraph"/>
        <w:numPr>
          <w:ilvl w:val="0"/>
          <w:numId w:val="5"/>
        </w:numPr>
        <w:spacing w:after="120" w:line="240" w:lineRule="auto"/>
        <w:contextualSpacing w:val="0"/>
        <w:jc w:val="both"/>
        <w:rPr>
          <w:rFonts w:ascii="Times New Roman" w:hAnsi="Times New Roman" w:cs="Times New Roman"/>
          <w:sz w:val="24"/>
          <w:szCs w:val="24"/>
        </w:rPr>
      </w:pPr>
      <w:r w:rsidRPr="00112E4F">
        <w:rPr>
          <w:rFonts w:ascii="Times New Roman" w:hAnsi="Times New Roman" w:cs="Times New Roman"/>
          <w:sz w:val="24"/>
          <w:szCs w:val="24"/>
        </w:rPr>
        <w:t>The EU also urges all external actors supplying arms, financial support, or support of any other kind to the warring parties to immediately cease such support and to comply with the UN arms embargo.</w:t>
      </w:r>
      <w:r w:rsidR="000860F1" w:rsidRPr="00112E4F">
        <w:rPr>
          <w:rFonts w:ascii="Times New Roman" w:hAnsi="Times New Roman" w:cs="Times New Roman"/>
          <w:sz w:val="24"/>
          <w:szCs w:val="24"/>
        </w:rPr>
        <w:t xml:space="preserve"> </w:t>
      </w:r>
      <w:r w:rsidR="00AB4E92" w:rsidRPr="00307AEE">
        <w:rPr>
          <w:rFonts w:ascii="Times New Roman" w:hAnsi="Times New Roman" w:cs="Times New Roman"/>
          <w:sz w:val="24"/>
          <w:szCs w:val="24"/>
        </w:rPr>
        <w:t>Since 2014, t</w:t>
      </w:r>
      <w:r w:rsidR="000860F1" w:rsidRPr="00307AEE">
        <w:rPr>
          <w:rFonts w:ascii="Times New Roman" w:hAnsi="Times New Roman" w:cs="Times New Roman"/>
          <w:sz w:val="24"/>
          <w:szCs w:val="24"/>
        </w:rPr>
        <w:t xml:space="preserve">he EU itself </w:t>
      </w:r>
      <w:r w:rsidR="007535D9" w:rsidRPr="00307AEE">
        <w:rPr>
          <w:rFonts w:ascii="Times New Roman" w:hAnsi="Times New Roman" w:cs="Times New Roman"/>
          <w:sz w:val="24"/>
          <w:szCs w:val="24"/>
        </w:rPr>
        <w:t xml:space="preserve">has been </w:t>
      </w:r>
      <w:r w:rsidR="00715307" w:rsidRPr="00307AEE">
        <w:rPr>
          <w:rFonts w:ascii="Times New Roman" w:hAnsi="Times New Roman" w:cs="Times New Roman"/>
          <w:sz w:val="24"/>
          <w:szCs w:val="24"/>
        </w:rPr>
        <w:t>maintain</w:t>
      </w:r>
      <w:r w:rsidR="007535D9" w:rsidRPr="00307AEE">
        <w:rPr>
          <w:rFonts w:ascii="Times New Roman" w:hAnsi="Times New Roman" w:cs="Times New Roman"/>
          <w:sz w:val="24"/>
          <w:szCs w:val="24"/>
        </w:rPr>
        <w:t>ing</w:t>
      </w:r>
      <w:r w:rsidR="00715307" w:rsidRPr="00307AEE">
        <w:rPr>
          <w:rFonts w:ascii="Times New Roman" w:hAnsi="Times New Roman" w:cs="Times New Roman"/>
          <w:sz w:val="24"/>
          <w:szCs w:val="24"/>
        </w:rPr>
        <w:t xml:space="preserve"> a </w:t>
      </w:r>
      <w:r w:rsidR="00AB76A1" w:rsidRPr="00307AEE">
        <w:rPr>
          <w:rFonts w:ascii="Times New Roman" w:hAnsi="Times New Roman" w:cs="Times New Roman"/>
          <w:sz w:val="24"/>
          <w:szCs w:val="24"/>
        </w:rPr>
        <w:t>more comprehensive</w:t>
      </w:r>
      <w:r w:rsidR="00715307" w:rsidRPr="00307AEE">
        <w:rPr>
          <w:rFonts w:ascii="Times New Roman" w:hAnsi="Times New Roman" w:cs="Times New Roman"/>
          <w:sz w:val="24"/>
          <w:szCs w:val="24"/>
        </w:rPr>
        <w:t xml:space="preserve"> arms embargo covering all entities in the entire territory of Sudan, with standard humanitarian and international assistance-related exemptions.</w:t>
      </w:r>
      <w:r w:rsidR="007535D9" w:rsidRPr="00307AEE">
        <w:rPr>
          <w:rFonts w:ascii="Times New Roman" w:hAnsi="Times New Roman" w:cs="Times New Roman"/>
          <w:sz w:val="24"/>
          <w:szCs w:val="24"/>
        </w:rPr>
        <w:t xml:space="preserve"> </w:t>
      </w:r>
    </w:p>
    <w:p w14:paraId="7EE69188" w14:textId="4557BDD0" w:rsidR="002B7EC7" w:rsidRPr="005D6385" w:rsidRDefault="000A3660" w:rsidP="00307AEE">
      <w:pPr>
        <w:pStyle w:val="ListParagraph"/>
        <w:numPr>
          <w:ilvl w:val="0"/>
          <w:numId w:val="5"/>
        </w:numPr>
        <w:spacing w:after="120" w:line="240" w:lineRule="auto"/>
        <w:contextualSpacing w:val="0"/>
        <w:jc w:val="both"/>
        <w:rPr>
          <w:rFonts w:ascii="Times New Roman" w:hAnsi="Times New Roman" w:cs="Times New Roman"/>
          <w:sz w:val="24"/>
          <w:szCs w:val="24"/>
        </w:rPr>
      </w:pPr>
      <w:r w:rsidRPr="005D6385">
        <w:rPr>
          <w:rFonts w:ascii="Times New Roman" w:hAnsi="Times New Roman" w:cs="Times New Roman"/>
          <w:sz w:val="24"/>
          <w:szCs w:val="24"/>
          <w:lang w:val="en-IE"/>
        </w:rPr>
        <w:t>The EU reaffirms the necessity of a robust and</w:t>
      </w:r>
      <w:r w:rsidRPr="005D6385">
        <w:rPr>
          <w:rFonts w:ascii="Times New Roman" w:hAnsi="Times New Roman" w:cs="Times New Roman"/>
          <w:b/>
          <w:bCs/>
          <w:sz w:val="24"/>
          <w:szCs w:val="24"/>
          <w:lang w:val="en-IE"/>
        </w:rPr>
        <w:t xml:space="preserve"> </w:t>
      </w:r>
      <w:r w:rsidR="00283DCE" w:rsidRPr="005D6385">
        <w:rPr>
          <w:rFonts w:ascii="Times New Roman" w:hAnsi="Times New Roman" w:cs="Times New Roman"/>
          <w:sz w:val="24"/>
          <w:szCs w:val="24"/>
          <w:lang w:val="en-IE"/>
        </w:rPr>
        <w:t>prudent arms export policy underpinned by strict controls, non-intervention into internal affairs of States, and no direct nor indirect trade with non-State actors. We urge all States Parties to ensure adherence to ATT obligations through implementation of robust arms export policies.</w:t>
      </w:r>
    </w:p>
    <w:sectPr w:rsidR="002B7EC7" w:rsidRPr="005D63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3021" w14:textId="77777777" w:rsidR="00675015" w:rsidRDefault="00675015" w:rsidP="005A1549">
      <w:pPr>
        <w:spacing w:after="0" w:line="240" w:lineRule="auto"/>
      </w:pPr>
      <w:r>
        <w:separator/>
      </w:r>
    </w:p>
  </w:endnote>
  <w:endnote w:type="continuationSeparator" w:id="0">
    <w:p w14:paraId="6BE07FF0" w14:textId="77777777" w:rsidR="00675015" w:rsidRDefault="00675015" w:rsidP="005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963116"/>
      <w:docPartObj>
        <w:docPartGallery w:val="Page Numbers (Bottom of Page)"/>
        <w:docPartUnique/>
      </w:docPartObj>
    </w:sdtPr>
    <w:sdtContent>
      <w:p w14:paraId="195F37C5" w14:textId="018B3564" w:rsidR="00B85FF0" w:rsidRDefault="00B85FF0">
        <w:pPr>
          <w:pStyle w:val="Footer"/>
          <w:jc w:val="center"/>
        </w:pPr>
        <w:r>
          <w:fldChar w:fldCharType="begin"/>
        </w:r>
        <w:r>
          <w:instrText>PAGE   \* MERGEFORMAT</w:instrText>
        </w:r>
        <w:r>
          <w:fldChar w:fldCharType="separate"/>
        </w:r>
        <w:r>
          <w:t>2</w:t>
        </w:r>
        <w:r>
          <w:fldChar w:fldCharType="end"/>
        </w:r>
      </w:p>
    </w:sdtContent>
  </w:sdt>
  <w:p w14:paraId="72AF41C8" w14:textId="77777777" w:rsidR="00B85FF0" w:rsidRDefault="00B8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D634" w14:textId="77777777" w:rsidR="00675015" w:rsidRDefault="00675015" w:rsidP="005A1549">
      <w:pPr>
        <w:spacing w:after="0" w:line="240" w:lineRule="auto"/>
      </w:pPr>
      <w:r>
        <w:separator/>
      </w:r>
    </w:p>
  </w:footnote>
  <w:footnote w:type="continuationSeparator" w:id="0">
    <w:p w14:paraId="0B4C8F8E" w14:textId="77777777" w:rsidR="00675015" w:rsidRDefault="00675015" w:rsidP="005A1549">
      <w:pPr>
        <w:spacing w:after="0" w:line="240" w:lineRule="auto"/>
      </w:pPr>
      <w:r>
        <w:continuationSeparator/>
      </w:r>
    </w:p>
  </w:footnote>
  <w:footnote w:id="1">
    <w:p w14:paraId="2AF494A4" w14:textId="77777777" w:rsidR="00364B59" w:rsidRPr="00364B59" w:rsidRDefault="00364B59" w:rsidP="00364B59">
      <w:pPr>
        <w:pStyle w:val="FootnoteText"/>
        <w:jc w:val="both"/>
        <w:rPr>
          <w:rFonts w:ascii="Times New Roman" w:hAnsi="Times New Roman" w:cs="Times New Roman"/>
          <w:lang w:val="en-US"/>
        </w:rPr>
      </w:pPr>
      <w:r w:rsidRPr="00364B59">
        <w:rPr>
          <w:rStyle w:val="FootnoteReference"/>
          <w:rFonts w:ascii="Times New Roman" w:hAnsi="Times New Roman" w:cs="Times New Roman"/>
        </w:rPr>
        <w:footnoteRef/>
      </w:r>
      <w:r w:rsidRPr="00364B59">
        <w:rPr>
          <w:rFonts w:ascii="Times New Roman" w:hAnsi="Times New Roman" w:cs="Times New Roman"/>
        </w:rPr>
        <w:t xml:space="preserve"> North Macedonia, Montenegro, Serbia and Albania continue to be part of the Stabilisation and Association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BA2"/>
    <w:multiLevelType w:val="hybridMultilevel"/>
    <w:tmpl w:val="190E6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660F0E"/>
    <w:multiLevelType w:val="hybridMultilevel"/>
    <w:tmpl w:val="74183FC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63A48"/>
    <w:multiLevelType w:val="hybridMultilevel"/>
    <w:tmpl w:val="313C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E4542D"/>
    <w:multiLevelType w:val="hybridMultilevel"/>
    <w:tmpl w:val="FB409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C1096"/>
    <w:multiLevelType w:val="hybridMultilevel"/>
    <w:tmpl w:val="4FB09248"/>
    <w:lvl w:ilvl="0" w:tplc="EAE0235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FE4181"/>
    <w:multiLevelType w:val="hybridMultilevel"/>
    <w:tmpl w:val="2B84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FB0C32"/>
    <w:multiLevelType w:val="hybridMultilevel"/>
    <w:tmpl w:val="D6C61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BA1AE1"/>
    <w:multiLevelType w:val="hybridMultilevel"/>
    <w:tmpl w:val="BF7A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1269C"/>
    <w:multiLevelType w:val="hybridMultilevel"/>
    <w:tmpl w:val="D7660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8C649B"/>
    <w:multiLevelType w:val="hybridMultilevel"/>
    <w:tmpl w:val="9FA64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383287"/>
    <w:multiLevelType w:val="hybridMultilevel"/>
    <w:tmpl w:val="C85023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9629D"/>
    <w:multiLevelType w:val="hybridMultilevel"/>
    <w:tmpl w:val="A5C2AE5C"/>
    <w:lvl w:ilvl="0" w:tplc="B4CECA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E6C70"/>
    <w:multiLevelType w:val="hybridMultilevel"/>
    <w:tmpl w:val="0B8EC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895FD1"/>
    <w:multiLevelType w:val="hybridMultilevel"/>
    <w:tmpl w:val="BF0CE0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12480">
    <w:abstractNumId w:val="0"/>
  </w:num>
  <w:num w:numId="2" w16cid:durableId="1393894009">
    <w:abstractNumId w:val="5"/>
  </w:num>
  <w:num w:numId="3" w16cid:durableId="1663897673">
    <w:abstractNumId w:val="10"/>
  </w:num>
  <w:num w:numId="4" w16cid:durableId="375156495">
    <w:abstractNumId w:val="11"/>
  </w:num>
  <w:num w:numId="5" w16cid:durableId="1494298505">
    <w:abstractNumId w:val="9"/>
  </w:num>
  <w:num w:numId="6" w16cid:durableId="850992634">
    <w:abstractNumId w:val="1"/>
  </w:num>
  <w:num w:numId="7" w16cid:durableId="1916014420">
    <w:abstractNumId w:val="13"/>
  </w:num>
  <w:num w:numId="8" w16cid:durableId="99570192">
    <w:abstractNumId w:val="7"/>
  </w:num>
  <w:num w:numId="9" w16cid:durableId="1779059010">
    <w:abstractNumId w:val="2"/>
  </w:num>
  <w:num w:numId="10" w16cid:durableId="233782107">
    <w:abstractNumId w:val="4"/>
  </w:num>
  <w:num w:numId="11" w16cid:durableId="518861053">
    <w:abstractNumId w:val="8"/>
  </w:num>
  <w:num w:numId="12" w16cid:durableId="87192013">
    <w:abstractNumId w:val="12"/>
  </w:num>
  <w:num w:numId="13" w16cid:durableId="339889645">
    <w:abstractNumId w:val="6"/>
  </w:num>
  <w:num w:numId="14" w16cid:durableId="4457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76"/>
    <w:rsid w:val="00033520"/>
    <w:rsid w:val="00052F39"/>
    <w:rsid w:val="000665D4"/>
    <w:rsid w:val="00066B12"/>
    <w:rsid w:val="000775DB"/>
    <w:rsid w:val="000860F1"/>
    <w:rsid w:val="00092BD6"/>
    <w:rsid w:val="00094193"/>
    <w:rsid w:val="000A3660"/>
    <w:rsid w:val="000D5C2F"/>
    <w:rsid w:val="000E6FC3"/>
    <w:rsid w:val="00112E4F"/>
    <w:rsid w:val="00153D63"/>
    <w:rsid w:val="001604DA"/>
    <w:rsid w:val="00166015"/>
    <w:rsid w:val="00174078"/>
    <w:rsid w:val="001A04D9"/>
    <w:rsid w:val="001A28DA"/>
    <w:rsid w:val="001C6940"/>
    <w:rsid w:val="00231C41"/>
    <w:rsid w:val="002814E0"/>
    <w:rsid w:val="00283DCE"/>
    <w:rsid w:val="002A5DCC"/>
    <w:rsid w:val="002B35EC"/>
    <w:rsid w:val="002B7EC7"/>
    <w:rsid w:val="002C02BA"/>
    <w:rsid w:val="002C4C1B"/>
    <w:rsid w:val="002D52C3"/>
    <w:rsid w:val="002F0CE1"/>
    <w:rsid w:val="002F275D"/>
    <w:rsid w:val="00307AEE"/>
    <w:rsid w:val="00321EFB"/>
    <w:rsid w:val="00331ABA"/>
    <w:rsid w:val="00362C64"/>
    <w:rsid w:val="00364B59"/>
    <w:rsid w:val="00366DC6"/>
    <w:rsid w:val="003703B1"/>
    <w:rsid w:val="00370B97"/>
    <w:rsid w:val="003758FE"/>
    <w:rsid w:val="003B08A4"/>
    <w:rsid w:val="003B6C25"/>
    <w:rsid w:val="003D4F3D"/>
    <w:rsid w:val="003D6AE2"/>
    <w:rsid w:val="00444DC2"/>
    <w:rsid w:val="004579DB"/>
    <w:rsid w:val="00461B66"/>
    <w:rsid w:val="00485EFA"/>
    <w:rsid w:val="004B5F67"/>
    <w:rsid w:val="004E094D"/>
    <w:rsid w:val="004F036C"/>
    <w:rsid w:val="004F50FA"/>
    <w:rsid w:val="0050306F"/>
    <w:rsid w:val="005465A0"/>
    <w:rsid w:val="00563DBC"/>
    <w:rsid w:val="00584E9F"/>
    <w:rsid w:val="005A1549"/>
    <w:rsid w:val="005B0109"/>
    <w:rsid w:val="005B5A18"/>
    <w:rsid w:val="005C2B64"/>
    <w:rsid w:val="005C35BE"/>
    <w:rsid w:val="005D08F5"/>
    <w:rsid w:val="005D4123"/>
    <w:rsid w:val="005D6385"/>
    <w:rsid w:val="00616FF1"/>
    <w:rsid w:val="006261C7"/>
    <w:rsid w:val="00641648"/>
    <w:rsid w:val="00651D2D"/>
    <w:rsid w:val="00674316"/>
    <w:rsid w:val="00675015"/>
    <w:rsid w:val="00686E3D"/>
    <w:rsid w:val="006B6665"/>
    <w:rsid w:val="006E7423"/>
    <w:rsid w:val="006F32A4"/>
    <w:rsid w:val="00703AD4"/>
    <w:rsid w:val="0071285B"/>
    <w:rsid w:val="00715307"/>
    <w:rsid w:val="007535D9"/>
    <w:rsid w:val="00774BF3"/>
    <w:rsid w:val="007753DA"/>
    <w:rsid w:val="0079650A"/>
    <w:rsid w:val="007C74BE"/>
    <w:rsid w:val="007D1491"/>
    <w:rsid w:val="007F6147"/>
    <w:rsid w:val="0082201F"/>
    <w:rsid w:val="00830218"/>
    <w:rsid w:val="00831215"/>
    <w:rsid w:val="00831827"/>
    <w:rsid w:val="00843B4A"/>
    <w:rsid w:val="008514B4"/>
    <w:rsid w:val="00892F06"/>
    <w:rsid w:val="00895DF7"/>
    <w:rsid w:val="008C19CF"/>
    <w:rsid w:val="008C4C18"/>
    <w:rsid w:val="008E233E"/>
    <w:rsid w:val="008E5A86"/>
    <w:rsid w:val="00905F0D"/>
    <w:rsid w:val="009150C3"/>
    <w:rsid w:val="0094336C"/>
    <w:rsid w:val="009530CE"/>
    <w:rsid w:val="0095779E"/>
    <w:rsid w:val="00971492"/>
    <w:rsid w:val="009970E7"/>
    <w:rsid w:val="009A268C"/>
    <w:rsid w:val="009A2867"/>
    <w:rsid w:val="009A5964"/>
    <w:rsid w:val="009D1B60"/>
    <w:rsid w:val="009F476A"/>
    <w:rsid w:val="009F5F4E"/>
    <w:rsid w:val="00A06EA3"/>
    <w:rsid w:val="00A24FF7"/>
    <w:rsid w:val="00A30E39"/>
    <w:rsid w:val="00A31B6C"/>
    <w:rsid w:val="00A84E24"/>
    <w:rsid w:val="00A956E7"/>
    <w:rsid w:val="00AB4E92"/>
    <w:rsid w:val="00AB76A1"/>
    <w:rsid w:val="00AD0D6D"/>
    <w:rsid w:val="00AD5939"/>
    <w:rsid w:val="00B27B38"/>
    <w:rsid w:val="00B325AC"/>
    <w:rsid w:val="00B44F69"/>
    <w:rsid w:val="00B5642B"/>
    <w:rsid w:val="00B61524"/>
    <w:rsid w:val="00B65876"/>
    <w:rsid w:val="00B71EB0"/>
    <w:rsid w:val="00B85B4F"/>
    <w:rsid w:val="00B85FF0"/>
    <w:rsid w:val="00B97916"/>
    <w:rsid w:val="00BA2606"/>
    <w:rsid w:val="00BB2457"/>
    <w:rsid w:val="00BC3751"/>
    <w:rsid w:val="00BF21AE"/>
    <w:rsid w:val="00C2728A"/>
    <w:rsid w:val="00C3537C"/>
    <w:rsid w:val="00C413FC"/>
    <w:rsid w:val="00C5675F"/>
    <w:rsid w:val="00C6620D"/>
    <w:rsid w:val="00C73D95"/>
    <w:rsid w:val="00C744A6"/>
    <w:rsid w:val="00C74CA1"/>
    <w:rsid w:val="00C75E35"/>
    <w:rsid w:val="00C95270"/>
    <w:rsid w:val="00CA3B71"/>
    <w:rsid w:val="00CA66B5"/>
    <w:rsid w:val="00CB0477"/>
    <w:rsid w:val="00CC1221"/>
    <w:rsid w:val="00CE1FEF"/>
    <w:rsid w:val="00CF77FD"/>
    <w:rsid w:val="00D255DB"/>
    <w:rsid w:val="00D2681F"/>
    <w:rsid w:val="00D42EB6"/>
    <w:rsid w:val="00D5546A"/>
    <w:rsid w:val="00D6024A"/>
    <w:rsid w:val="00D70867"/>
    <w:rsid w:val="00D7255C"/>
    <w:rsid w:val="00DB69BC"/>
    <w:rsid w:val="00DB7C4B"/>
    <w:rsid w:val="00DC5A41"/>
    <w:rsid w:val="00DE2D4E"/>
    <w:rsid w:val="00E07EE8"/>
    <w:rsid w:val="00E11038"/>
    <w:rsid w:val="00E57FDB"/>
    <w:rsid w:val="00EA64E6"/>
    <w:rsid w:val="00EC1E93"/>
    <w:rsid w:val="00ED2CDE"/>
    <w:rsid w:val="00EF73AB"/>
    <w:rsid w:val="00F04985"/>
    <w:rsid w:val="00F11693"/>
    <w:rsid w:val="00F73624"/>
    <w:rsid w:val="00F748EC"/>
    <w:rsid w:val="00F91D87"/>
    <w:rsid w:val="00FA5FA8"/>
    <w:rsid w:val="00FC6212"/>
    <w:rsid w:val="00FC6E05"/>
    <w:rsid w:val="00FC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AD03"/>
  <w15:chartTrackingRefBased/>
  <w15:docId w15:val="{59FC39A0-46EB-4F9E-8E93-D770983A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8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658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58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58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58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5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658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58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58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58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5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876"/>
    <w:rPr>
      <w:rFonts w:eastAsiaTheme="majorEastAsia" w:cstheme="majorBidi"/>
      <w:color w:val="272727" w:themeColor="text1" w:themeTint="D8"/>
    </w:rPr>
  </w:style>
  <w:style w:type="paragraph" w:styleId="Title">
    <w:name w:val="Title"/>
    <w:basedOn w:val="Normal"/>
    <w:next w:val="Normal"/>
    <w:link w:val="TitleChar"/>
    <w:uiPriority w:val="10"/>
    <w:qFormat/>
    <w:rsid w:val="00B65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876"/>
    <w:pPr>
      <w:spacing w:before="160"/>
      <w:jc w:val="center"/>
    </w:pPr>
    <w:rPr>
      <w:i/>
      <w:iCs/>
      <w:color w:val="404040" w:themeColor="text1" w:themeTint="BF"/>
    </w:rPr>
  </w:style>
  <w:style w:type="character" w:customStyle="1" w:styleId="QuoteChar">
    <w:name w:val="Quote Char"/>
    <w:basedOn w:val="DefaultParagraphFont"/>
    <w:link w:val="Quote"/>
    <w:uiPriority w:val="29"/>
    <w:rsid w:val="00B65876"/>
    <w:rPr>
      <w:i/>
      <w:iCs/>
      <w:color w:val="404040" w:themeColor="text1" w:themeTint="BF"/>
    </w:rPr>
  </w:style>
  <w:style w:type="paragraph" w:styleId="ListParagraph">
    <w:name w:val="List Paragraph"/>
    <w:basedOn w:val="Normal"/>
    <w:uiPriority w:val="34"/>
    <w:qFormat/>
    <w:rsid w:val="00B65876"/>
    <w:pPr>
      <w:ind w:left="720"/>
      <w:contextualSpacing/>
    </w:pPr>
  </w:style>
  <w:style w:type="character" w:styleId="IntenseEmphasis">
    <w:name w:val="Intense Emphasis"/>
    <w:basedOn w:val="DefaultParagraphFont"/>
    <w:uiPriority w:val="21"/>
    <w:qFormat/>
    <w:rsid w:val="00B65876"/>
    <w:rPr>
      <w:i/>
      <w:iCs/>
      <w:color w:val="2E74B5" w:themeColor="accent1" w:themeShade="BF"/>
    </w:rPr>
  </w:style>
  <w:style w:type="paragraph" w:styleId="IntenseQuote">
    <w:name w:val="Intense Quote"/>
    <w:basedOn w:val="Normal"/>
    <w:next w:val="Normal"/>
    <w:link w:val="IntenseQuoteChar"/>
    <w:uiPriority w:val="30"/>
    <w:qFormat/>
    <w:rsid w:val="00B658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5876"/>
    <w:rPr>
      <w:i/>
      <w:iCs/>
      <w:color w:val="2E74B5" w:themeColor="accent1" w:themeShade="BF"/>
    </w:rPr>
  </w:style>
  <w:style w:type="character" w:styleId="IntenseReference">
    <w:name w:val="Intense Reference"/>
    <w:basedOn w:val="DefaultParagraphFont"/>
    <w:uiPriority w:val="32"/>
    <w:qFormat/>
    <w:rsid w:val="00B65876"/>
    <w:rPr>
      <w:b/>
      <w:bCs/>
      <w:smallCaps/>
      <w:color w:val="2E74B5" w:themeColor="accent1" w:themeShade="BF"/>
      <w:spacing w:val="5"/>
    </w:rPr>
  </w:style>
  <w:style w:type="paragraph" w:customStyle="1" w:styleId="Default">
    <w:name w:val="Default"/>
    <w:rsid w:val="00B61524"/>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noteText">
    <w:name w:val="footnote text"/>
    <w:basedOn w:val="Normal"/>
    <w:link w:val="FootnoteTextChar"/>
    <w:uiPriority w:val="99"/>
    <w:semiHidden/>
    <w:unhideWhenUsed/>
    <w:rsid w:val="005A1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549"/>
    <w:rPr>
      <w:sz w:val="20"/>
      <w:szCs w:val="20"/>
    </w:rPr>
  </w:style>
  <w:style w:type="character" w:styleId="FootnoteReference">
    <w:name w:val="footnote reference"/>
    <w:basedOn w:val="DefaultParagraphFont"/>
    <w:uiPriority w:val="99"/>
    <w:semiHidden/>
    <w:unhideWhenUsed/>
    <w:rsid w:val="005A1549"/>
    <w:rPr>
      <w:vertAlign w:val="superscript"/>
    </w:rPr>
  </w:style>
  <w:style w:type="character" w:styleId="Hyperlink">
    <w:name w:val="Hyperlink"/>
    <w:basedOn w:val="DefaultParagraphFont"/>
    <w:uiPriority w:val="99"/>
    <w:unhideWhenUsed/>
    <w:rsid w:val="00CC1221"/>
    <w:rPr>
      <w:color w:val="0563C1" w:themeColor="hyperlink"/>
      <w:u w:val="single"/>
    </w:rPr>
  </w:style>
  <w:style w:type="character" w:styleId="UnresolvedMention">
    <w:name w:val="Unresolved Mention"/>
    <w:basedOn w:val="DefaultParagraphFont"/>
    <w:uiPriority w:val="99"/>
    <w:semiHidden/>
    <w:unhideWhenUsed/>
    <w:rsid w:val="00CC1221"/>
    <w:rPr>
      <w:color w:val="605E5C"/>
      <w:shd w:val="clear" w:color="auto" w:fill="E1DFDD"/>
    </w:rPr>
  </w:style>
  <w:style w:type="paragraph" w:styleId="Header">
    <w:name w:val="header"/>
    <w:basedOn w:val="Normal"/>
    <w:link w:val="HeaderChar"/>
    <w:uiPriority w:val="99"/>
    <w:unhideWhenUsed/>
    <w:rsid w:val="00B85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FF0"/>
  </w:style>
  <w:style w:type="paragraph" w:styleId="Footer">
    <w:name w:val="footer"/>
    <w:basedOn w:val="Normal"/>
    <w:link w:val="FooterChar"/>
    <w:uiPriority w:val="99"/>
    <w:unhideWhenUsed/>
    <w:rsid w:val="00B85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9C1DD-A2D3-4746-8EA1-221960160C2A}">
  <ds:schemaRefs>
    <ds:schemaRef ds:uri="http://schemas.openxmlformats.org/officeDocument/2006/bibliography"/>
  </ds:schemaRefs>
</ds:datastoreItem>
</file>

<file path=customXml/itemProps2.xml><?xml version="1.0" encoding="utf-8"?>
<ds:datastoreItem xmlns:ds="http://schemas.openxmlformats.org/officeDocument/2006/customXml" ds:itemID="{65D02A85-9C7A-41B4-A453-DE6034DF1189}"/>
</file>

<file path=customXml/itemProps3.xml><?xml version="1.0" encoding="utf-8"?>
<ds:datastoreItem xmlns:ds="http://schemas.openxmlformats.org/officeDocument/2006/customXml" ds:itemID="{74E09E86-13F6-4C50-AC91-1275CF7452A1}"/>
</file>

<file path=customXml/itemProps4.xml><?xml version="1.0" encoding="utf-8"?>
<ds:datastoreItem xmlns:ds="http://schemas.openxmlformats.org/officeDocument/2006/customXml" ds:itemID="{80DADFBB-ECC3-4922-A4F5-CB8F2019AA4E}"/>
</file>

<file path=docProps/app.xml><?xml version="1.0" encoding="utf-8"?>
<Properties xmlns="http://schemas.openxmlformats.org/officeDocument/2006/extended-properties" xmlns:vt="http://schemas.openxmlformats.org/officeDocument/2006/docPropsVTypes">
  <Template>Normal</Template>
  <TotalTime>19</TotalTime>
  <Pages>4</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KARCZMARZ Michal (EEAS)</dc:creator>
  <cp:keywords/>
  <dc:description/>
  <cp:lastModifiedBy>MALDONADO TORRES Yolanda (EEAS-GENEVA)</cp:lastModifiedBy>
  <cp:revision>19</cp:revision>
  <cp:lastPrinted>2026-03-12T16:35:00Z</cp:lastPrinted>
  <dcterms:created xsi:type="dcterms:W3CDTF">2026-03-12T14:11:00Z</dcterms:created>
  <dcterms:modified xsi:type="dcterms:W3CDTF">2026-03-19T16:08:00Z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ies>
</file>